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3C2A51">
        <w:rPr>
          <w:rFonts w:cs="Arial"/>
          <w:sz w:val="20"/>
        </w:rPr>
        <w:t>101</w:t>
      </w:r>
      <w:r w:rsidR="005C3EE4">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4165D0" w:rsidRPr="004165D0">
        <w:t>R4-2119534</w:t>
      </w:r>
    </w:p>
    <w:p w:rsidR="00675C27" w:rsidRPr="00444A16" w:rsidRDefault="009D7747" w:rsidP="00F71A33">
      <w:pPr>
        <w:pStyle w:val="a1"/>
        <w:rPr>
          <w:rFonts w:eastAsia="宋体"/>
          <w:lang w:eastAsia="zh-CN"/>
        </w:rPr>
      </w:pPr>
      <w:r>
        <w:rPr>
          <w:rFonts w:eastAsia="宋体"/>
          <w:lang w:eastAsia="zh-CN"/>
        </w:rPr>
        <w:t xml:space="preserve">Electronic Meeting, </w:t>
      </w:r>
      <w:r w:rsidR="00936201">
        <w:rPr>
          <w:rFonts w:eastAsia="宋体" w:hint="eastAsia"/>
          <w:lang w:eastAsia="zh-CN"/>
        </w:rPr>
        <w:t>November</w:t>
      </w:r>
      <w:r w:rsidR="00936201">
        <w:rPr>
          <w:rFonts w:eastAsia="宋体"/>
          <w:lang w:eastAsia="zh-CN"/>
        </w:rPr>
        <w:t xml:space="preserve"> 01-12</w:t>
      </w:r>
      <w:r w:rsidR="00167F84" w:rsidRPr="00AC4DD3">
        <w:rPr>
          <w:rFonts w:eastAsia="宋体"/>
          <w:lang w:eastAsia="zh-CN"/>
        </w:rPr>
        <w:t>,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C2A51" w:rsidRPr="003C2A51">
        <w:rPr>
          <w:rFonts w:ascii="Arial" w:hAnsi="Arial" w:cs="Arial"/>
          <w:sz w:val="22"/>
        </w:rPr>
        <w:t xml:space="preserve">On </w:t>
      </w:r>
      <w:proofErr w:type="spellStart"/>
      <w:r w:rsidR="003C2A51" w:rsidRPr="003C2A51">
        <w:rPr>
          <w:rFonts w:ascii="Arial" w:hAnsi="Arial" w:cs="Arial"/>
          <w:sz w:val="22"/>
        </w:rPr>
        <w:t>Pcmax</w:t>
      </w:r>
      <w:proofErr w:type="spellEnd"/>
      <w:r w:rsidR="003C2A51" w:rsidRPr="003C2A51">
        <w:rPr>
          <w:rFonts w:ascii="Arial" w:hAnsi="Arial" w:cs="Arial"/>
          <w:sz w:val="22"/>
        </w:rPr>
        <w:t xml:space="preserve"> for intra-band concurrent operation</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4165D0" w:rsidRPr="004165D0">
        <w:rPr>
          <w:rFonts w:ascii="Arial" w:hAnsi="Arial" w:cs="Arial"/>
          <w:sz w:val="22"/>
        </w:rPr>
        <w:t>8.15.4.4</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9A089A" w:rsidRDefault="00E20EC0" w:rsidP="009A089A">
      <w:pPr>
        <w:rPr>
          <w:lang w:val="x-none"/>
        </w:rPr>
      </w:pPr>
      <w:r>
        <w:rPr>
          <w:lang w:val="x-none"/>
        </w:rPr>
        <w:t>MPR requirements for intra-band con-current operation have been discussed for several meetings</w:t>
      </w:r>
      <w:r w:rsidR="00B9629D">
        <w:rPr>
          <w:lang w:val="x-none"/>
        </w:rPr>
        <w:t>.</w:t>
      </w:r>
      <w:r>
        <w:rPr>
          <w:lang w:val="x-none"/>
        </w:rPr>
        <w:t xml:space="preserve"> The configured output power is closely related to the applicable MPR/A-MPR requirements. </w:t>
      </w:r>
    </w:p>
    <w:p w:rsidR="00E20EC0" w:rsidRDefault="00E20EC0" w:rsidP="009A089A">
      <w:r>
        <w:rPr>
          <w:lang w:val="x-none"/>
        </w:rPr>
        <w:t xml:space="preserve">This contribution provides consideration for </w:t>
      </w:r>
      <w:proofErr w:type="spellStart"/>
      <w:r>
        <w:rPr>
          <w:lang w:val="x-none"/>
        </w:rPr>
        <w:t>Pcmax</w:t>
      </w:r>
      <w:proofErr w:type="spellEnd"/>
      <w:r>
        <w:rPr>
          <w:lang w:val="x-none"/>
        </w:rPr>
        <w:t xml:space="preserve"> requirement for intra-band con-current operation.</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Default="00E20EC0" w:rsidP="00E20EC0">
      <w:pPr>
        <w:pStyle w:val="Heading2"/>
        <w:spacing w:after="240"/>
        <w:rPr>
          <w:lang w:val="en-US"/>
        </w:rPr>
      </w:pPr>
      <w:r>
        <w:rPr>
          <w:lang w:val="en-US"/>
        </w:rPr>
        <w:t>Operation scenario</w:t>
      </w:r>
      <w:r w:rsidR="0004161F">
        <w:rPr>
          <w:lang w:val="en-US"/>
        </w:rPr>
        <w:t>s</w:t>
      </w:r>
    </w:p>
    <w:p w:rsidR="00E20EC0" w:rsidRDefault="0004161F" w:rsidP="00E20EC0">
      <w:pPr>
        <w:rPr>
          <w:lang w:val="en-US" w:eastAsia="en-US"/>
        </w:rPr>
      </w:pPr>
      <w:r>
        <w:rPr>
          <w:lang w:val="en-US" w:eastAsia="en-US"/>
        </w:rPr>
        <w:t xml:space="preserve">In TR 38.785, there are several operation scenarios are considered for intra-band con-current operation in TDD licensed band n79, i.e. TDM operation, contiguous FDM operation and non-contiguous FDM operation. </w:t>
      </w:r>
    </w:p>
    <w:p w:rsidR="0004161F" w:rsidRPr="00EF5447" w:rsidRDefault="0004161F" w:rsidP="0004161F">
      <w:pPr>
        <w:pStyle w:val="TH"/>
      </w:pPr>
      <w:r w:rsidRPr="00EF5447">
        <w:t>Table 5.2</w:t>
      </w:r>
      <w:r>
        <w:rPr>
          <w:rFonts w:hint="eastAsia"/>
        </w:rPr>
        <w:t>.3</w:t>
      </w:r>
      <w:r w:rsidRPr="00EF5447">
        <w:t>.1-1: Intra-band V2X operating bands</w:t>
      </w:r>
      <w:r>
        <w:rPr>
          <w:rFonts w:hint="eastAsia"/>
        </w:rPr>
        <w:t xml:space="preserve"> with TDM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04161F" w:rsidRPr="00EF5447" w:rsidTr="00BD03D8">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rsidR="0004161F" w:rsidRPr="00EF5447" w:rsidRDefault="0004161F" w:rsidP="00BD03D8">
            <w:pPr>
              <w:pStyle w:val="TAH"/>
            </w:pPr>
            <w:r>
              <w:rPr>
                <w:rFonts w:hint="eastAsia"/>
              </w:rPr>
              <w:t xml:space="preserve">NR </w:t>
            </w:r>
            <w:proofErr w:type="spellStart"/>
            <w:r>
              <w:rPr>
                <w:rFonts w:hint="eastAsia"/>
              </w:rPr>
              <w:t>Uu</w:t>
            </w:r>
            <w:proofErr w:type="spellEnd"/>
            <w:r w:rsidRPr="00EF5447">
              <w:t>-NR V2X Band Combination</w:t>
            </w:r>
          </w:p>
        </w:tc>
        <w:tc>
          <w:tcPr>
            <w:tcW w:w="2578" w:type="dxa"/>
            <w:tcBorders>
              <w:top w:val="single" w:sz="4" w:space="0" w:color="auto"/>
              <w:left w:val="single" w:sz="4" w:space="0" w:color="auto"/>
              <w:bottom w:val="single" w:sz="4" w:space="0" w:color="auto"/>
              <w:right w:val="single" w:sz="4" w:space="0" w:color="auto"/>
            </w:tcBorders>
          </w:tcPr>
          <w:p w:rsidR="0004161F" w:rsidRPr="00EF5447" w:rsidRDefault="0004161F" w:rsidP="00BD03D8">
            <w:pPr>
              <w:pStyle w:val="TAH"/>
              <w:rPr>
                <w:rFonts w:eastAsia="Malgun Gothic"/>
                <w:lang w:eastAsia="ko-KR"/>
              </w:rPr>
            </w:pPr>
            <w:r>
              <w:rPr>
                <w:rFonts w:hint="eastAsia"/>
              </w:rPr>
              <w:t xml:space="preserve">NR </w:t>
            </w:r>
            <w:proofErr w:type="spellStart"/>
            <w:r>
              <w:rPr>
                <w:rFonts w:hint="eastAsia"/>
              </w:rPr>
              <w:t>Uu</w:t>
            </w:r>
            <w:proofErr w:type="spellEnd"/>
            <w:r w:rsidRPr="00EF5447">
              <w:rPr>
                <w:rFonts w:eastAsia="Malgun Gothic"/>
                <w:lang w:eastAsia="ko-KR"/>
              </w:rPr>
              <w:t xml:space="preserve">  or NR </w:t>
            </w:r>
            <w:r>
              <w:rPr>
                <w:rFonts w:hint="eastAsia"/>
              </w:rPr>
              <w:t xml:space="preserve">V2X </w:t>
            </w:r>
            <w:r w:rsidRPr="00EF5447">
              <w:rPr>
                <w:rFonts w:eastAsia="Malgun Gothic"/>
                <w:lang w:eastAsia="ko-KR"/>
              </w:rPr>
              <w:t>Band</w:t>
            </w:r>
          </w:p>
        </w:tc>
        <w:tc>
          <w:tcPr>
            <w:tcW w:w="2578" w:type="dxa"/>
            <w:tcBorders>
              <w:top w:val="single" w:sz="4" w:space="0" w:color="auto"/>
              <w:left w:val="single" w:sz="4" w:space="0" w:color="auto"/>
              <w:bottom w:val="single" w:sz="4" w:space="0" w:color="auto"/>
              <w:right w:val="single" w:sz="4" w:space="0" w:color="auto"/>
            </w:tcBorders>
            <w:hideMark/>
          </w:tcPr>
          <w:p w:rsidR="0004161F" w:rsidRPr="00EF5447" w:rsidRDefault="0004161F" w:rsidP="00BD03D8">
            <w:pPr>
              <w:pStyle w:val="TAH"/>
            </w:pPr>
            <w:r w:rsidRPr="00EF5447">
              <w:t>Interface</w:t>
            </w:r>
          </w:p>
        </w:tc>
      </w:tr>
      <w:tr w:rsidR="0004161F" w:rsidRPr="00EF5447" w:rsidTr="00BD03D8">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rsidR="0004161F" w:rsidRPr="00EF5447" w:rsidRDefault="0004161F" w:rsidP="00BD03D8">
            <w:pPr>
              <w:pStyle w:val="TAC"/>
            </w:pPr>
            <w:r w:rsidRPr="00EF5447">
              <w:t>V2X_</w:t>
            </w:r>
            <w:r>
              <w:rPr>
                <w:rFonts w:hint="eastAsia"/>
              </w:rPr>
              <w:t>n79</w:t>
            </w:r>
            <w:r>
              <w:t>_n</w:t>
            </w:r>
            <w:r>
              <w:rPr>
                <w:rFonts w:hint="eastAsia"/>
              </w:rPr>
              <w:t>79</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rsidR="0004161F" w:rsidRPr="00526CA3" w:rsidRDefault="0004161F" w:rsidP="00BD03D8">
            <w:pPr>
              <w:pStyle w:val="TAC"/>
            </w:pPr>
            <w:r>
              <w:rPr>
                <w:rFonts w:hint="eastAsia"/>
              </w:rPr>
              <w:t>n79</w:t>
            </w:r>
          </w:p>
        </w:tc>
        <w:tc>
          <w:tcPr>
            <w:tcW w:w="2578" w:type="dxa"/>
            <w:tcBorders>
              <w:top w:val="single" w:sz="4" w:space="0" w:color="auto"/>
              <w:left w:val="single" w:sz="4" w:space="0" w:color="auto"/>
              <w:bottom w:val="single" w:sz="4" w:space="0" w:color="auto"/>
              <w:right w:val="single" w:sz="4" w:space="0" w:color="auto"/>
            </w:tcBorders>
          </w:tcPr>
          <w:p w:rsidR="0004161F" w:rsidRPr="00EF5447" w:rsidRDefault="0004161F" w:rsidP="00BD03D8">
            <w:pPr>
              <w:pStyle w:val="TAC"/>
            </w:pPr>
            <w:proofErr w:type="spellStart"/>
            <w:r>
              <w:rPr>
                <w:rFonts w:hint="eastAsia"/>
              </w:rPr>
              <w:t>Uu</w:t>
            </w:r>
            <w:proofErr w:type="spellEnd"/>
          </w:p>
        </w:tc>
      </w:tr>
      <w:tr w:rsidR="0004161F" w:rsidRPr="00EF5447" w:rsidTr="00BD03D8">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rsidR="0004161F" w:rsidRPr="00EF5447" w:rsidRDefault="0004161F" w:rsidP="00BD03D8">
            <w:pPr>
              <w:pStyle w:val="TAC"/>
            </w:pPr>
          </w:p>
        </w:tc>
        <w:tc>
          <w:tcPr>
            <w:tcW w:w="2578" w:type="dxa"/>
            <w:tcBorders>
              <w:top w:val="single" w:sz="4" w:space="0" w:color="auto"/>
              <w:left w:val="single" w:sz="4" w:space="0" w:color="auto"/>
              <w:bottom w:val="single" w:sz="4" w:space="0" w:color="auto"/>
              <w:right w:val="single" w:sz="4" w:space="0" w:color="auto"/>
            </w:tcBorders>
          </w:tcPr>
          <w:p w:rsidR="0004161F" w:rsidRPr="00526CA3" w:rsidRDefault="0004161F" w:rsidP="00BD03D8">
            <w:pPr>
              <w:pStyle w:val="TAC"/>
            </w:pPr>
            <w:r>
              <w:rPr>
                <w:rFonts w:hint="eastAsia"/>
              </w:rPr>
              <w:t>n79</w:t>
            </w:r>
          </w:p>
        </w:tc>
        <w:tc>
          <w:tcPr>
            <w:tcW w:w="2578" w:type="dxa"/>
            <w:tcBorders>
              <w:top w:val="single" w:sz="4" w:space="0" w:color="auto"/>
              <w:left w:val="single" w:sz="4" w:space="0" w:color="auto"/>
              <w:bottom w:val="single" w:sz="4" w:space="0" w:color="auto"/>
              <w:right w:val="single" w:sz="4" w:space="0" w:color="auto"/>
            </w:tcBorders>
          </w:tcPr>
          <w:p w:rsidR="0004161F" w:rsidRPr="00EF5447" w:rsidRDefault="0004161F" w:rsidP="00BD03D8">
            <w:pPr>
              <w:pStyle w:val="TAC"/>
              <w:rPr>
                <w:rFonts w:eastAsia="Malgun Gothic"/>
                <w:lang w:eastAsia="ko-KR"/>
              </w:rPr>
            </w:pPr>
            <w:r w:rsidRPr="00EF5447">
              <w:rPr>
                <w:rFonts w:eastAsia="Malgun Gothic"/>
                <w:lang w:eastAsia="ko-KR"/>
              </w:rPr>
              <w:t>PC5</w:t>
            </w:r>
          </w:p>
        </w:tc>
      </w:tr>
      <w:tr w:rsidR="0004161F" w:rsidRPr="00EF5447" w:rsidTr="00BD03D8">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rsidR="0004161F" w:rsidRPr="00EF5447" w:rsidRDefault="0004161F" w:rsidP="00BD03D8">
            <w:pPr>
              <w:pStyle w:val="TAN"/>
            </w:pPr>
            <w:r w:rsidRPr="00EF5447">
              <w:t>NOTE 1:</w:t>
            </w:r>
            <w:r w:rsidRPr="00EF5447">
              <w:tab/>
              <w:t>O</w:t>
            </w:r>
            <w:r>
              <w:rPr>
                <w:lang w:eastAsia="en-GB"/>
              </w:rPr>
              <w:t xml:space="preserve">nly single switched </w:t>
            </w:r>
            <w:proofErr w:type="spellStart"/>
            <w:r>
              <w:t>sidelink</w:t>
            </w:r>
            <w:proofErr w:type="spellEnd"/>
            <w:r>
              <w:rPr>
                <w:rFonts w:hint="eastAsia"/>
              </w:rPr>
              <w:t xml:space="preserve"> or </w:t>
            </w:r>
            <w:r>
              <w:t>NR uplink/downlink</w:t>
            </w:r>
            <w:r w:rsidRPr="00EF5447">
              <w:rPr>
                <w:lang w:eastAsia="en-GB"/>
              </w:rPr>
              <w:t xml:space="preserve"> is supported.</w:t>
            </w:r>
          </w:p>
        </w:tc>
      </w:tr>
    </w:tbl>
    <w:p w:rsidR="0004161F" w:rsidRDefault="0004161F" w:rsidP="00E20EC0">
      <w:pPr>
        <w:rPr>
          <w:lang w:val="en-US" w:eastAsia="en-US"/>
        </w:rPr>
      </w:pPr>
    </w:p>
    <w:p w:rsidR="0004161F" w:rsidRPr="00EF5447" w:rsidRDefault="0004161F" w:rsidP="0004161F">
      <w:pPr>
        <w:pStyle w:val="TH"/>
      </w:pPr>
      <w:r>
        <w:t>Table 5.</w:t>
      </w:r>
      <w:r>
        <w:rPr>
          <w:rFonts w:hint="eastAsia"/>
        </w:rPr>
        <w:t>2.4</w:t>
      </w:r>
      <w:r w:rsidRPr="00EF5447">
        <w:t xml:space="preserve">.1-1: </w:t>
      </w:r>
      <w:r>
        <w:rPr>
          <w:rFonts w:hint="eastAsia"/>
        </w:rPr>
        <w:t xml:space="preserve">NR </w:t>
      </w:r>
      <w:proofErr w:type="spellStart"/>
      <w:r>
        <w:rPr>
          <w:rFonts w:hint="eastAsia"/>
        </w:rPr>
        <w:t>Uu</w:t>
      </w:r>
      <w:proofErr w:type="spellEnd"/>
      <w:r>
        <w:rPr>
          <w:rFonts w:hint="eastAsia"/>
        </w:rPr>
        <w:t>-</w:t>
      </w:r>
      <w:r w:rsidRPr="00EF5447">
        <w:t xml:space="preserve">NR V2X configurations and bandwidth combination sets for intra-band contiguous V2X UE </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04161F" w:rsidRPr="00EF5447" w:rsidTr="00BD03D8">
        <w:trPr>
          <w:trHeight w:val="187"/>
          <w:tblHeader/>
          <w:jc w:val="center"/>
        </w:trPr>
        <w:tc>
          <w:tcPr>
            <w:tcW w:w="0" w:type="auto"/>
          </w:tcPr>
          <w:p w:rsidR="0004161F" w:rsidRPr="00EF5447" w:rsidRDefault="0004161F" w:rsidP="00BD03D8">
            <w:pPr>
              <w:spacing w:after="0"/>
              <w:jc w:val="center"/>
              <w:rPr>
                <w:rFonts w:ascii="Arial" w:hAnsi="Arial"/>
                <w:b/>
                <w:sz w:val="18"/>
                <w:lang w:eastAsia="en-GB"/>
              </w:rPr>
            </w:pPr>
            <w:r w:rsidRPr="00EF5447">
              <w:rPr>
                <w:rFonts w:ascii="Arial" w:hAnsi="Arial"/>
                <w:b/>
                <w:sz w:val="18"/>
                <w:lang w:eastAsia="en-GB"/>
              </w:rPr>
              <w:t>V2X configuration</w:t>
            </w:r>
          </w:p>
        </w:tc>
        <w:tc>
          <w:tcPr>
            <w:tcW w:w="1395" w:type="dxa"/>
          </w:tcPr>
          <w:p w:rsidR="0004161F" w:rsidRPr="00EF5447" w:rsidRDefault="0004161F" w:rsidP="00BD03D8">
            <w:pPr>
              <w:spacing w:after="0"/>
              <w:jc w:val="center"/>
              <w:rPr>
                <w:rFonts w:ascii="Arial" w:hAnsi="Arial"/>
                <w:b/>
                <w:sz w:val="18"/>
                <w:lang w:eastAsia="en-GB"/>
              </w:rPr>
            </w:pPr>
            <w:r>
              <w:rPr>
                <w:rFonts w:ascii="Arial" w:hAnsi="Arial" w:hint="eastAsia"/>
                <w:b/>
                <w:sz w:val="18"/>
              </w:rPr>
              <w:t>V2X</w:t>
            </w:r>
            <w:r w:rsidRPr="00EF5447">
              <w:rPr>
                <w:rFonts w:ascii="Arial" w:hAnsi="Arial"/>
                <w:b/>
                <w:sz w:val="18"/>
                <w:lang w:eastAsia="en-GB"/>
              </w:rPr>
              <w:t xml:space="preserve"> </w:t>
            </w:r>
            <w:proofErr w:type="spellStart"/>
            <w:r w:rsidRPr="00EF5447">
              <w:rPr>
                <w:rFonts w:ascii="Arial" w:hAnsi="Arial"/>
                <w:b/>
                <w:sz w:val="18"/>
                <w:lang w:eastAsia="en-GB"/>
              </w:rPr>
              <w:t>transmisison</w:t>
            </w:r>
            <w:proofErr w:type="spellEnd"/>
            <w:r w:rsidRPr="00EF5447">
              <w:rPr>
                <w:rFonts w:ascii="Arial" w:hAnsi="Arial"/>
                <w:b/>
                <w:sz w:val="18"/>
                <w:lang w:eastAsia="en-GB"/>
              </w:rPr>
              <w:t xml:space="preserve"> band</w:t>
            </w:r>
          </w:p>
        </w:tc>
        <w:tc>
          <w:tcPr>
            <w:tcW w:w="1218" w:type="dxa"/>
            <w:tcMar>
              <w:top w:w="0" w:type="dxa"/>
              <w:left w:w="108" w:type="dxa"/>
              <w:bottom w:w="0" w:type="dxa"/>
              <w:right w:w="108" w:type="dxa"/>
            </w:tcMar>
          </w:tcPr>
          <w:p w:rsidR="0004161F" w:rsidRPr="00EF5447" w:rsidRDefault="0004161F" w:rsidP="00BD03D8">
            <w:pPr>
              <w:pStyle w:val="TAH"/>
              <w:keepNext w:val="0"/>
              <w:rPr>
                <w:lang w:eastAsia="en-GB"/>
              </w:rPr>
            </w:pPr>
            <w:r w:rsidRPr="00EF5447">
              <w:rPr>
                <w:lang w:eastAsia="en-GB"/>
              </w:rPr>
              <w:t xml:space="preserve">Channel bandwidths for </w:t>
            </w:r>
            <w:proofErr w:type="spellStart"/>
            <w:r>
              <w:rPr>
                <w:rFonts w:hint="eastAsia"/>
              </w:rPr>
              <w:t>Uu</w:t>
            </w:r>
            <w:proofErr w:type="spellEnd"/>
            <w:r w:rsidRPr="00EF5447">
              <w:rPr>
                <w:lang w:eastAsia="en-GB"/>
              </w:rPr>
              <w:t xml:space="preserve"> carrier (MHz)</w:t>
            </w:r>
          </w:p>
        </w:tc>
        <w:tc>
          <w:tcPr>
            <w:tcW w:w="1244" w:type="dxa"/>
            <w:tcMar>
              <w:top w:w="0" w:type="dxa"/>
              <w:left w:w="108" w:type="dxa"/>
              <w:bottom w:w="0" w:type="dxa"/>
              <w:right w:w="108" w:type="dxa"/>
            </w:tcMar>
          </w:tcPr>
          <w:p w:rsidR="0004161F" w:rsidRPr="00EF5447" w:rsidRDefault="0004161F" w:rsidP="00BD03D8">
            <w:pPr>
              <w:pStyle w:val="TAH"/>
              <w:keepNext w:val="0"/>
              <w:rPr>
                <w:lang w:eastAsia="en-GB"/>
              </w:rPr>
            </w:pPr>
            <w:r w:rsidRPr="00EF5447">
              <w:rPr>
                <w:lang w:eastAsia="en-GB"/>
              </w:rPr>
              <w:t xml:space="preserve">Channel bandwidths for </w:t>
            </w:r>
            <w:r>
              <w:rPr>
                <w:rFonts w:hint="eastAsia"/>
              </w:rPr>
              <w:t xml:space="preserve">SL </w:t>
            </w:r>
            <w:r w:rsidRPr="00EF5447">
              <w:rPr>
                <w:lang w:eastAsia="en-GB"/>
              </w:rPr>
              <w:t>carrier (MHz)</w:t>
            </w:r>
          </w:p>
        </w:tc>
        <w:tc>
          <w:tcPr>
            <w:tcW w:w="0" w:type="auto"/>
          </w:tcPr>
          <w:p w:rsidR="0004161F" w:rsidRPr="00EF5447" w:rsidRDefault="0004161F" w:rsidP="00BD03D8">
            <w:pPr>
              <w:spacing w:after="0"/>
              <w:jc w:val="center"/>
              <w:rPr>
                <w:rFonts w:ascii="Arial" w:hAnsi="Arial"/>
                <w:b/>
                <w:sz w:val="18"/>
                <w:lang w:eastAsia="en-GB"/>
              </w:rPr>
            </w:pPr>
            <w:r w:rsidRPr="00EF5447">
              <w:rPr>
                <w:rFonts w:ascii="Arial" w:hAnsi="Arial"/>
                <w:b/>
                <w:sz w:val="18"/>
                <w:lang w:eastAsia="en-GB"/>
              </w:rPr>
              <w:t xml:space="preserve">Maximum aggregated </w:t>
            </w:r>
            <w:r w:rsidRPr="00EF5447">
              <w:rPr>
                <w:rFonts w:ascii="Arial" w:hAnsi="Arial"/>
                <w:b/>
                <w:sz w:val="18"/>
                <w:lang w:eastAsia="en-GB"/>
              </w:rPr>
              <w:br/>
              <w:t>bandwidth (MHz)</w:t>
            </w:r>
          </w:p>
        </w:tc>
        <w:tc>
          <w:tcPr>
            <w:tcW w:w="0" w:type="auto"/>
          </w:tcPr>
          <w:p w:rsidR="0004161F" w:rsidRPr="00EF5447" w:rsidRDefault="0004161F" w:rsidP="00BD03D8">
            <w:pPr>
              <w:spacing w:after="0"/>
              <w:jc w:val="center"/>
              <w:rPr>
                <w:rFonts w:ascii="Arial" w:hAnsi="Arial"/>
                <w:b/>
                <w:sz w:val="18"/>
                <w:lang w:eastAsia="en-GB"/>
              </w:rPr>
            </w:pPr>
            <w:r w:rsidRPr="00EF5447">
              <w:rPr>
                <w:rFonts w:ascii="Arial" w:hAnsi="Arial"/>
                <w:b/>
                <w:sz w:val="18"/>
                <w:lang w:eastAsia="en-GB"/>
              </w:rPr>
              <w:t>Bandwidth combination set</w:t>
            </w:r>
          </w:p>
        </w:tc>
      </w:tr>
      <w:tr w:rsidR="0004161F" w:rsidRPr="00EF5447" w:rsidTr="00BD03D8">
        <w:trPr>
          <w:trHeight w:val="187"/>
          <w:jc w:val="center"/>
        </w:trPr>
        <w:tc>
          <w:tcPr>
            <w:tcW w:w="1558" w:type="dxa"/>
            <w:shd w:val="clear" w:color="auto" w:fill="auto"/>
            <w:tcMar>
              <w:top w:w="0" w:type="dxa"/>
              <w:left w:w="108" w:type="dxa"/>
              <w:bottom w:w="0" w:type="dxa"/>
              <w:right w:w="108" w:type="dxa"/>
            </w:tcMar>
            <w:hideMark/>
          </w:tcPr>
          <w:p w:rsidR="0004161F" w:rsidRPr="00EF5447" w:rsidRDefault="0004161F" w:rsidP="00BD03D8">
            <w:pPr>
              <w:pStyle w:val="TAC"/>
              <w:keepNext w:val="0"/>
              <w:rPr>
                <w:lang w:eastAsia="en-GB"/>
              </w:rPr>
            </w:pPr>
            <w:r>
              <w:rPr>
                <w:lang w:eastAsia="en-GB"/>
              </w:rPr>
              <w:t>V2X_</w:t>
            </w:r>
            <w:r>
              <w:rPr>
                <w:rFonts w:hint="eastAsia"/>
              </w:rPr>
              <w:t>n79</w:t>
            </w:r>
            <w:r w:rsidRPr="00EF5447">
              <w:rPr>
                <w:lang w:eastAsia="en-GB"/>
              </w:rPr>
              <w:t>AA</w:t>
            </w:r>
          </w:p>
        </w:tc>
        <w:tc>
          <w:tcPr>
            <w:tcW w:w="1395" w:type="dxa"/>
            <w:shd w:val="clear" w:color="auto" w:fill="auto"/>
            <w:tcMar>
              <w:top w:w="0" w:type="dxa"/>
              <w:left w:w="108" w:type="dxa"/>
              <w:bottom w:w="0" w:type="dxa"/>
              <w:right w:w="108" w:type="dxa"/>
            </w:tcMar>
            <w:hideMark/>
          </w:tcPr>
          <w:p w:rsidR="0004161F" w:rsidRPr="00EF5447" w:rsidRDefault="0004161F" w:rsidP="00BD03D8">
            <w:pPr>
              <w:pStyle w:val="TAC"/>
              <w:keepNext w:val="0"/>
            </w:pPr>
            <w:r w:rsidRPr="00EF5447">
              <w:rPr>
                <w:lang w:eastAsia="ja-JP"/>
              </w:rPr>
              <w:t>NR band n</w:t>
            </w:r>
            <w:r>
              <w:rPr>
                <w:rFonts w:hint="eastAsia"/>
              </w:rPr>
              <w:t>79</w:t>
            </w:r>
          </w:p>
        </w:tc>
        <w:tc>
          <w:tcPr>
            <w:tcW w:w="1218" w:type="dxa"/>
            <w:tcMar>
              <w:top w:w="0" w:type="dxa"/>
              <w:left w:w="108" w:type="dxa"/>
              <w:bottom w:w="0" w:type="dxa"/>
              <w:right w:w="108" w:type="dxa"/>
            </w:tcMar>
            <w:hideMark/>
          </w:tcPr>
          <w:p w:rsidR="0004161F" w:rsidRPr="00EF5447" w:rsidRDefault="0004161F" w:rsidP="00BD03D8">
            <w:pPr>
              <w:pStyle w:val="TAC"/>
              <w:keepNext w:val="0"/>
            </w:pPr>
            <w:r>
              <w:rPr>
                <w:rFonts w:hint="eastAsia"/>
              </w:rPr>
              <w:t>4</w:t>
            </w:r>
            <w:r w:rsidRPr="00EF5447">
              <w:rPr>
                <w:lang w:eastAsia="en-GB"/>
              </w:rPr>
              <w:t>0</w:t>
            </w:r>
            <w:r>
              <w:rPr>
                <w:rFonts w:hint="eastAsia"/>
              </w:rPr>
              <w:t>, 50, 60, 80, 100</w:t>
            </w:r>
          </w:p>
        </w:tc>
        <w:tc>
          <w:tcPr>
            <w:tcW w:w="1244" w:type="dxa"/>
            <w:tcMar>
              <w:top w:w="0" w:type="dxa"/>
              <w:left w:w="108" w:type="dxa"/>
              <w:bottom w:w="0" w:type="dxa"/>
              <w:right w:w="108" w:type="dxa"/>
            </w:tcMar>
            <w:hideMark/>
          </w:tcPr>
          <w:p w:rsidR="0004161F" w:rsidRPr="00EF5447" w:rsidRDefault="0004161F" w:rsidP="00BD03D8">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rsidR="0004161F" w:rsidRPr="00EF5447" w:rsidRDefault="0004161F" w:rsidP="00BD03D8">
            <w:pPr>
              <w:pStyle w:val="TAC"/>
              <w:keepNext w:val="0"/>
              <w:rPr>
                <w:lang w:eastAsia="en-GB"/>
              </w:rPr>
            </w:pPr>
            <w:r>
              <w:rPr>
                <w:rFonts w:hint="eastAsia"/>
              </w:rPr>
              <w:t>14</w:t>
            </w:r>
            <w:r w:rsidRPr="00EF5447">
              <w:rPr>
                <w:lang w:eastAsia="en-GB"/>
              </w:rPr>
              <w:t>0</w:t>
            </w:r>
          </w:p>
        </w:tc>
        <w:tc>
          <w:tcPr>
            <w:tcW w:w="1643" w:type="dxa"/>
            <w:shd w:val="clear" w:color="auto" w:fill="auto"/>
            <w:tcMar>
              <w:top w:w="0" w:type="dxa"/>
              <w:left w:w="108" w:type="dxa"/>
              <w:bottom w:w="0" w:type="dxa"/>
              <w:right w:w="108" w:type="dxa"/>
            </w:tcMar>
            <w:hideMark/>
          </w:tcPr>
          <w:p w:rsidR="0004161F" w:rsidRPr="00EF5447" w:rsidRDefault="0004161F" w:rsidP="00BD03D8">
            <w:pPr>
              <w:pStyle w:val="TAC"/>
              <w:keepNext w:val="0"/>
              <w:rPr>
                <w:lang w:eastAsia="en-GB"/>
              </w:rPr>
            </w:pPr>
            <w:r w:rsidRPr="00EF5447">
              <w:rPr>
                <w:lang w:eastAsia="en-GB"/>
              </w:rPr>
              <w:t>0</w:t>
            </w:r>
          </w:p>
        </w:tc>
      </w:tr>
    </w:tbl>
    <w:p w:rsidR="0004161F" w:rsidRDefault="0004161F" w:rsidP="00E20EC0">
      <w:pPr>
        <w:rPr>
          <w:lang w:val="en-US" w:eastAsia="en-US"/>
        </w:rPr>
      </w:pPr>
    </w:p>
    <w:p w:rsidR="0004161F" w:rsidRPr="00EF5447" w:rsidRDefault="0004161F" w:rsidP="0004161F">
      <w:pPr>
        <w:pStyle w:val="TH"/>
      </w:pPr>
      <w:r>
        <w:t>Table 5.</w:t>
      </w:r>
      <w:r>
        <w:rPr>
          <w:rFonts w:hint="eastAsia"/>
        </w:rPr>
        <w:t>2.5</w:t>
      </w:r>
      <w:r>
        <w:t>.</w:t>
      </w:r>
      <w:r>
        <w:rPr>
          <w:rFonts w:hint="eastAsia"/>
        </w:rPr>
        <w:t>1</w:t>
      </w:r>
      <w:r w:rsidRPr="00EF5447">
        <w:t xml:space="preserve">-1: </w:t>
      </w:r>
      <w:r>
        <w:rPr>
          <w:rFonts w:hint="eastAsia"/>
        </w:rPr>
        <w:t xml:space="preserve">NR </w:t>
      </w:r>
      <w:proofErr w:type="spellStart"/>
      <w:r>
        <w:rPr>
          <w:rFonts w:hint="eastAsia"/>
        </w:rPr>
        <w:t>Uu</w:t>
      </w:r>
      <w:proofErr w:type="spellEnd"/>
      <w:r w:rsidRPr="00EF5447">
        <w:t>-NR V2X configurations and bandwidth combination sets for intra-band non-contiguous V2X UE</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04161F" w:rsidRPr="00EF5447" w:rsidTr="00BD03D8">
        <w:trPr>
          <w:trHeight w:val="187"/>
          <w:tblHeader/>
          <w:jc w:val="center"/>
        </w:trPr>
        <w:tc>
          <w:tcPr>
            <w:tcW w:w="0" w:type="auto"/>
          </w:tcPr>
          <w:p w:rsidR="0004161F" w:rsidRPr="00EF5447" w:rsidRDefault="0004161F" w:rsidP="00BD03D8">
            <w:pPr>
              <w:pStyle w:val="TAH"/>
              <w:rPr>
                <w:lang w:eastAsia="en-GB"/>
              </w:rPr>
            </w:pPr>
            <w:r w:rsidRPr="00EF5447">
              <w:rPr>
                <w:lang w:eastAsia="en-GB"/>
              </w:rPr>
              <w:t>V2X configuration</w:t>
            </w:r>
          </w:p>
        </w:tc>
        <w:tc>
          <w:tcPr>
            <w:tcW w:w="1395" w:type="dxa"/>
          </w:tcPr>
          <w:p w:rsidR="0004161F" w:rsidRPr="00EF5447" w:rsidRDefault="0004161F" w:rsidP="00BD03D8">
            <w:pPr>
              <w:pStyle w:val="TAH"/>
              <w:rPr>
                <w:lang w:eastAsia="en-GB"/>
              </w:rPr>
            </w:pPr>
            <w:r>
              <w:rPr>
                <w:rFonts w:hint="eastAsia"/>
              </w:rPr>
              <w:t>V2X</w:t>
            </w:r>
            <w:r w:rsidRPr="00EF5447">
              <w:rPr>
                <w:lang w:eastAsia="en-GB"/>
              </w:rPr>
              <w:t xml:space="preserve"> </w:t>
            </w:r>
            <w:proofErr w:type="spellStart"/>
            <w:r w:rsidRPr="00EF5447">
              <w:rPr>
                <w:lang w:eastAsia="en-GB"/>
              </w:rPr>
              <w:t>transmisison</w:t>
            </w:r>
            <w:proofErr w:type="spellEnd"/>
            <w:r w:rsidRPr="00EF5447">
              <w:rPr>
                <w:lang w:eastAsia="en-GB"/>
              </w:rPr>
              <w:t xml:space="preserve"> band</w:t>
            </w:r>
          </w:p>
        </w:tc>
        <w:tc>
          <w:tcPr>
            <w:tcW w:w="1218" w:type="dxa"/>
            <w:tcMar>
              <w:top w:w="0" w:type="dxa"/>
              <w:left w:w="108" w:type="dxa"/>
              <w:bottom w:w="0" w:type="dxa"/>
              <w:right w:w="108" w:type="dxa"/>
            </w:tcMar>
          </w:tcPr>
          <w:p w:rsidR="0004161F" w:rsidRPr="00EF5447" w:rsidRDefault="0004161F" w:rsidP="00BD03D8">
            <w:pPr>
              <w:pStyle w:val="TAH"/>
              <w:rPr>
                <w:lang w:eastAsia="en-GB"/>
              </w:rPr>
            </w:pPr>
            <w:r w:rsidRPr="00EF5447">
              <w:rPr>
                <w:lang w:eastAsia="en-GB"/>
              </w:rPr>
              <w:t xml:space="preserve">Channel bandwidths for </w:t>
            </w:r>
            <w:proofErr w:type="spellStart"/>
            <w:r>
              <w:rPr>
                <w:rFonts w:hint="eastAsia"/>
              </w:rPr>
              <w:t>Uu</w:t>
            </w:r>
            <w:proofErr w:type="spellEnd"/>
            <w:r w:rsidRPr="00EF5447">
              <w:rPr>
                <w:lang w:eastAsia="en-GB"/>
              </w:rPr>
              <w:t xml:space="preserve"> carrier (MHz)</w:t>
            </w:r>
          </w:p>
        </w:tc>
        <w:tc>
          <w:tcPr>
            <w:tcW w:w="1244" w:type="dxa"/>
            <w:tcMar>
              <w:top w:w="0" w:type="dxa"/>
              <w:left w:w="108" w:type="dxa"/>
              <w:bottom w:w="0" w:type="dxa"/>
              <w:right w:w="108" w:type="dxa"/>
            </w:tcMar>
          </w:tcPr>
          <w:p w:rsidR="0004161F" w:rsidRPr="00EF5447" w:rsidRDefault="0004161F" w:rsidP="00BD03D8">
            <w:pPr>
              <w:pStyle w:val="TAH"/>
              <w:rPr>
                <w:lang w:eastAsia="en-GB"/>
              </w:rPr>
            </w:pPr>
            <w:r w:rsidRPr="00EF5447">
              <w:rPr>
                <w:lang w:eastAsia="en-GB"/>
              </w:rPr>
              <w:t>Channel bandwidths for NR carrier (MHz)</w:t>
            </w:r>
          </w:p>
        </w:tc>
        <w:tc>
          <w:tcPr>
            <w:tcW w:w="0" w:type="auto"/>
          </w:tcPr>
          <w:p w:rsidR="0004161F" w:rsidRPr="00EF5447" w:rsidRDefault="0004161F" w:rsidP="00BD03D8">
            <w:pPr>
              <w:pStyle w:val="TAH"/>
              <w:rPr>
                <w:lang w:eastAsia="en-GB"/>
              </w:rPr>
            </w:pPr>
            <w:r w:rsidRPr="00EF5447">
              <w:rPr>
                <w:lang w:eastAsia="en-GB"/>
              </w:rPr>
              <w:t xml:space="preserve">Maximum aggregated </w:t>
            </w:r>
            <w:r w:rsidRPr="00EF5447">
              <w:rPr>
                <w:lang w:eastAsia="en-GB"/>
              </w:rPr>
              <w:br/>
              <w:t>bandwidth (MHz)</w:t>
            </w:r>
          </w:p>
        </w:tc>
        <w:tc>
          <w:tcPr>
            <w:tcW w:w="0" w:type="auto"/>
          </w:tcPr>
          <w:p w:rsidR="0004161F" w:rsidRPr="00EF5447" w:rsidRDefault="0004161F" w:rsidP="00BD03D8">
            <w:pPr>
              <w:pStyle w:val="TAH"/>
              <w:rPr>
                <w:lang w:eastAsia="en-GB"/>
              </w:rPr>
            </w:pPr>
            <w:r w:rsidRPr="00EF5447">
              <w:rPr>
                <w:lang w:eastAsia="en-GB"/>
              </w:rPr>
              <w:t>Bandwidth combination set</w:t>
            </w:r>
          </w:p>
        </w:tc>
      </w:tr>
      <w:tr w:rsidR="0004161F" w:rsidRPr="00EF5447" w:rsidTr="00BD03D8">
        <w:trPr>
          <w:trHeight w:val="187"/>
          <w:jc w:val="center"/>
        </w:trPr>
        <w:tc>
          <w:tcPr>
            <w:tcW w:w="1558" w:type="dxa"/>
            <w:shd w:val="clear" w:color="auto" w:fill="auto"/>
            <w:tcMar>
              <w:top w:w="0" w:type="dxa"/>
              <w:left w:w="108" w:type="dxa"/>
              <w:bottom w:w="0" w:type="dxa"/>
              <w:right w:w="108" w:type="dxa"/>
            </w:tcMar>
            <w:hideMark/>
          </w:tcPr>
          <w:p w:rsidR="0004161F" w:rsidRPr="00EF5447" w:rsidRDefault="0004161F" w:rsidP="00BD03D8">
            <w:pPr>
              <w:pStyle w:val="TAC"/>
              <w:keepNext w:val="0"/>
              <w:rPr>
                <w:lang w:eastAsia="en-GB"/>
              </w:rPr>
            </w:pPr>
            <w:r w:rsidRPr="00EF5447">
              <w:rPr>
                <w:lang w:eastAsia="en-GB"/>
              </w:rPr>
              <w:t>V2X_</w:t>
            </w:r>
            <w:r>
              <w:rPr>
                <w:rFonts w:hint="eastAsia"/>
              </w:rPr>
              <w:t>n79</w:t>
            </w:r>
            <w:r>
              <w:rPr>
                <w:lang w:eastAsia="en-GB"/>
              </w:rPr>
              <w:t>A</w:t>
            </w:r>
            <w:r>
              <w:rPr>
                <w:rFonts w:hint="eastAsia"/>
              </w:rPr>
              <w:t>-</w:t>
            </w:r>
            <w:r>
              <w:rPr>
                <w:lang w:eastAsia="en-GB"/>
              </w:rPr>
              <w:t>n</w:t>
            </w:r>
            <w:r>
              <w:rPr>
                <w:rFonts w:hint="eastAsia"/>
              </w:rPr>
              <w:t>79</w:t>
            </w:r>
            <w:r w:rsidRPr="00EF5447">
              <w:rPr>
                <w:lang w:eastAsia="en-GB"/>
              </w:rPr>
              <w:t>A</w:t>
            </w:r>
          </w:p>
        </w:tc>
        <w:tc>
          <w:tcPr>
            <w:tcW w:w="1395" w:type="dxa"/>
            <w:shd w:val="clear" w:color="auto" w:fill="auto"/>
            <w:tcMar>
              <w:top w:w="0" w:type="dxa"/>
              <w:left w:w="108" w:type="dxa"/>
              <w:bottom w:w="0" w:type="dxa"/>
              <w:right w:w="108" w:type="dxa"/>
            </w:tcMar>
            <w:hideMark/>
          </w:tcPr>
          <w:p w:rsidR="0004161F" w:rsidRPr="00EF5447" w:rsidRDefault="0004161F" w:rsidP="00BD03D8">
            <w:pPr>
              <w:pStyle w:val="TAC"/>
              <w:keepNext w:val="0"/>
            </w:pPr>
            <w:r w:rsidRPr="00EF5447">
              <w:rPr>
                <w:lang w:eastAsia="ja-JP"/>
              </w:rPr>
              <w:t>NR band n</w:t>
            </w:r>
            <w:r>
              <w:rPr>
                <w:rFonts w:hint="eastAsia"/>
              </w:rPr>
              <w:t>79</w:t>
            </w:r>
          </w:p>
        </w:tc>
        <w:tc>
          <w:tcPr>
            <w:tcW w:w="1218" w:type="dxa"/>
            <w:tcMar>
              <w:top w:w="0" w:type="dxa"/>
              <w:left w:w="108" w:type="dxa"/>
              <w:bottom w:w="0" w:type="dxa"/>
              <w:right w:w="108" w:type="dxa"/>
            </w:tcMar>
            <w:hideMark/>
          </w:tcPr>
          <w:p w:rsidR="0004161F" w:rsidRPr="00EF5447" w:rsidRDefault="0004161F" w:rsidP="00BD03D8">
            <w:pPr>
              <w:pStyle w:val="TAC"/>
              <w:keepNext w:val="0"/>
              <w:rPr>
                <w:lang w:eastAsia="en-GB"/>
              </w:rPr>
            </w:pPr>
            <w:r>
              <w:rPr>
                <w:rFonts w:hint="eastAsia"/>
              </w:rPr>
              <w:t>4</w:t>
            </w:r>
            <w:r w:rsidRPr="00EF5447">
              <w:rPr>
                <w:lang w:eastAsia="en-GB"/>
              </w:rPr>
              <w:t>0</w:t>
            </w:r>
            <w:r>
              <w:rPr>
                <w:rFonts w:hint="eastAsia"/>
              </w:rPr>
              <w:t>, 50, 60, 80, 100</w:t>
            </w:r>
          </w:p>
        </w:tc>
        <w:tc>
          <w:tcPr>
            <w:tcW w:w="1244" w:type="dxa"/>
            <w:tcMar>
              <w:top w:w="0" w:type="dxa"/>
              <w:left w:w="108" w:type="dxa"/>
              <w:bottom w:w="0" w:type="dxa"/>
              <w:right w:w="108" w:type="dxa"/>
            </w:tcMar>
            <w:hideMark/>
          </w:tcPr>
          <w:p w:rsidR="0004161F" w:rsidRPr="00EF5447" w:rsidRDefault="0004161F" w:rsidP="00BD03D8">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rsidR="0004161F" w:rsidRPr="00EF5447" w:rsidRDefault="0004161F" w:rsidP="00BD03D8">
            <w:pPr>
              <w:pStyle w:val="TAC"/>
              <w:keepNext w:val="0"/>
              <w:rPr>
                <w:lang w:eastAsia="en-GB"/>
              </w:rPr>
            </w:pPr>
            <w:r>
              <w:rPr>
                <w:rFonts w:hint="eastAsia"/>
              </w:rPr>
              <w:t>14</w:t>
            </w:r>
            <w:r w:rsidRPr="00EF5447">
              <w:rPr>
                <w:lang w:eastAsia="en-GB"/>
              </w:rPr>
              <w:t>0</w:t>
            </w:r>
          </w:p>
        </w:tc>
        <w:tc>
          <w:tcPr>
            <w:tcW w:w="1643" w:type="dxa"/>
            <w:shd w:val="clear" w:color="auto" w:fill="auto"/>
            <w:tcMar>
              <w:top w:w="0" w:type="dxa"/>
              <w:left w:w="108" w:type="dxa"/>
              <w:bottom w:w="0" w:type="dxa"/>
              <w:right w:w="108" w:type="dxa"/>
            </w:tcMar>
            <w:hideMark/>
          </w:tcPr>
          <w:p w:rsidR="0004161F" w:rsidRPr="00EF5447" w:rsidRDefault="0004161F" w:rsidP="00BD03D8">
            <w:pPr>
              <w:pStyle w:val="TAC"/>
              <w:keepNext w:val="0"/>
              <w:rPr>
                <w:lang w:eastAsia="en-GB"/>
              </w:rPr>
            </w:pPr>
            <w:r w:rsidRPr="00EF5447">
              <w:rPr>
                <w:lang w:eastAsia="en-GB"/>
              </w:rPr>
              <w:t>0</w:t>
            </w:r>
          </w:p>
        </w:tc>
      </w:tr>
    </w:tbl>
    <w:p w:rsidR="0004161F" w:rsidRDefault="0004161F" w:rsidP="00E20EC0">
      <w:pPr>
        <w:rPr>
          <w:lang w:val="en-US" w:eastAsia="en-US"/>
        </w:rPr>
      </w:pPr>
    </w:p>
    <w:p w:rsidR="0004161F" w:rsidRDefault="0004161F" w:rsidP="00E20EC0">
      <w:pPr>
        <w:rPr>
          <w:rFonts w:eastAsia="MS Mincho"/>
          <w:lang w:eastAsia="ja-JP"/>
        </w:rPr>
      </w:pPr>
      <w:r>
        <w:rPr>
          <w:lang w:val="en-US" w:eastAsia="en-US"/>
        </w:rPr>
        <w:t xml:space="preserve">The categorization is to facilitate the discussion in RAN4, however, the terms of TDM and FDM operation are not used in RAN1 specification. The problem is whether RAN1/RAN2 spec supports these kinds of categorization. </w:t>
      </w:r>
      <w:r w:rsidRPr="007744E6">
        <w:rPr>
          <w:rFonts w:eastAsia="MS Mincho"/>
          <w:lang w:eastAsia="ja-JP"/>
        </w:rPr>
        <w:t xml:space="preserve">A UE </w:t>
      </w:r>
      <w:r>
        <w:rPr>
          <w:rFonts w:eastAsia="MS Mincho"/>
          <w:lang w:eastAsia="ja-JP"/>
        </w:rPr>
        <w:lastRenderedPageBreak/>
        <w:t xml:space="preserve">supporting </w:t>
      </w:r>
      <w:proofErr w:type="spellStart"/>
      <w:r>
        <w:rPr>
          <w:rFonts w:eastAsia="MS Mincho"/>
          <w:lang w:eastAsia="ja-JP"/>
        </w:rPr>
        <w:t>sildelink</w:t>
      </w:r>
      <w:proofErr w:type="spellEnd"/>
      <w:r>
        <w:rPr>
          <w:rFonts w:eastAsia="MS Mincho"/>
          <w:lang w:eastAsia="ja-JP"/>
        </w:rPr>
        <w:t xml:space="preserve"> operation </w:t>
      </w:r>
      <w:r w:rsidRPr="007744E6">
        <w:rPr>
          <w:rFonts w:eastAsia="MS Mincho"/>
          <w:lang w:eastAsia="ja-JP"/>
        </w:rPr>
        <w:t xml:space="preserve">can be configured by higher layers with one or more </w:t>
      </w:r>
      <w:proofErr w:type="spellStart"/>
      <w:r>
        <w:t>sidelink</w:t>
      </w:r>
      <w:proofErr w:type="spellEnd"/>
      <w:r>
        <w:t xml:space="preserve"> resource pools. A </w:t>
      </w:r>
      <w:proofErr w:type="spellStart"/>
      <w:r>
        <w:t>sidelink</w:t>
      </w:r>
      <w:proofErr w:type="spellEnd"/>
      <w:r>
        <w:t xml:space="preserve"> resource pool </w:t>
      </w:r>
      <w:r w:rsidRPr="007744E6">
        <w:rPr>
          <w:rFonts w:eastAsia="MS Mincho"/>
          <w:lang w:eastAsia="ja-JP"/>
        </w:rPr>
        <w:t xml:space="preserve">can be </w:t>
      </w:r>
      <w:r>
        <w:rPr>
          <w:rFonts w:eastAsia="MS Mincho"/>
          <w:lang w:eastAsia="ja-JP"/>
        </w:rPr>
        <w:t xml:space="preserve">associated with either </w:t>
      </w:r>
      <w:proofErr w:type="spellStart"/>
      <w:r>
        <w:rPr>
          <w:rFonts w:eastAsia="MS Mincho"/>
          <w:lang w:eastAsia="ja-JP"/>
        </w:rPr>
        <w:t>sidelink</w:t>
      </w:r>
      <w:proofErr w:type="spellEnd"/>
      <w:r>
        <w:rPr>
          <w:rFonts w:eastAsia="MS Mincho"/>
          <w:lang w:eastAsia="ja-JP"/>
        </w:rPr>
        <w:t xml:space="preserve"> resource allocation mode 1 or </w:t>
      </w:r>
      <w:proofErr w:type="spellStart"/>
      <w:r>
        <w:rPr>
          <w:rFonts w:eastAsia="MS Mincho"/>
          <w:lang w:eastAsia="ja-JP"/>
        </w:rPr>
        <w:t>sidelink</w:t>
      </w:r>
      <w:proofErr w:type="spellEnd"/>
      <w:r>
        <w:rPr>
          <w:rFonts w:eastAsia="MS Mincho"/>
          <w:lang w:eastAsia="ja-JP"/>
        </w:rPr>
        <w:t xml:space="preserve"> resource allocation mode 2. For both mode 1 and mode 2, in coverage scenario, the resource allocated to </w:t>
      </w:r>
      <w:proofErr w:type="spellStart"/>
      <w:r>
        <w:rPr>
          <w:rFonts w:eastAsia="MS Mincho"/>
          <w:lang w:eastAsia="ja-JP"/>
        </w:rPr>
        <w:t>Uu</w:t>
      </w:r>
      <w:proofErr w:type="spellEnd"/>
      <w:r>
        <w:rPr>
          <w:rFonts w:eastAsia="MS Mincho"/>
          <w:lang w:eastAsia="ja-JP"/>
        </w:rPr>
        <w:t xml:space="preserve"> and SL can be dynamically changed. For some slots, there is no overlapping </w:t>
      </w:r>
      <w:proofErr w:type="spellStart"/>
      <w:r>
        <w:rPr>
          <w:rFonts w:eastAsia="MS Mincho"/>
          <w:lang w:eastAsia="ja-JP"/>
        </w:rPr>
        <w:t>Uu</w:t>
      </w:r>
      <w:proofErr w:type="spellEnd"/>
      <w:r>
        <w:rPr>
          <w:rFonts w:eastAsia="MS Mincho"/>
          <w:lang w:eastAsia="ja-JP"/>
        </w:rPr>
        <w:t xml:space="preserve"> and SL transmission, this case can also be considered as TDM operat</w:t>
      </w:r>
      <w:r w:rsidR="000C11AB">
        <w:rPr>
          <w:rFonts w:eastAsia="MS Mincho"/>
          <w:lang w:eastAsia="ja-JP"/>
        </w:rPr>
        <w:t xml:space="preserve">ion. UE may not be able to adapt to the fast changing resource allocation for intra-band con-current operation. Therefore, the specified configured output power requirement should be applicable for both TDM and FDM operation. </w:t>
      </w:r>
    </w:p>
    <w:p w:rsidR="000C11AB" w:rsidRDefault="000C11AB" w:rsidP="000C11AB">
      <w:pPr>
        <w:rPr>
          <w:b/>
          <w:i/>
          <w:lang w:val="en-US" w:eastAsia="en-US"/>
        </w:rPr>
      </w:pPr>
      <w:r>
        <w:rPr>
          <w:b/>
          <w:i/>
          <w:lang w:val="en-US" w:eastAsia="en-US"/>
        </w:rPr>
        <w:t>Observation 1: From the RAN1 specification, it is observed that there are no clear indication of the TDM or FDM operation from resource allocation perspective.</w:t>
      </w:r>
    </w:p>
    <w:p w:rsidR="00E20EC0" w:rsidRDefault="00E20EC0" w:rsidP="00E20EC0">
      <w:pPr>
        <w:pStyle w:val="Heading2"/>
        <w:spacing w:after="240"/>
        <w:rPr>
          <w:lang w:val="en-US"/>
        </w:rPr>
      </w:pPr>
      <w:r>
        <w:rPr>
          <w:lang w:val="en-US"/>
        </w:rPr>
        <w:t xml:space="preserve">Configured output power </w:t>
      </w:r>
    </w:p>
    <w:p w:rsidR="004500C8" w:rsidRDefault="006930F5" w:rsidP="004500C8">
      <w:pPr>
        <w:pStyle w:val="Heading3"/>
        <w:rPr>
          <w:lang w:eastAsia="en-US"/>
        </w:rPr>
      </w:pPr>
      <w:r>
        <w:rPr>
          <w:lang w:eastAsia="en-US"/>
        </w:rPr>
        <w:t>Spec to be considered for configured output power</w:t>
      </w:r>
    </w:p>
    <w:p w:rsidR="00E20EC0" w:rsidRDefault="004E0831" w:rsidP="00E20EC0">
      <w:pPr>
        <w:rPr>
          <w:lang w:val="en-US" w:eastAsia="en-US"/>
        </w:rPr>
      </w:pPr>
      <w:r>
        <w:rPr>
          <w:lang w:val="en-US" w:eastAsia="en-US"/>
        </w:rPr>
        <w:t>There was a draft CR in last meeting for the intra-band con-current configured power requirement [1]. The proposed changes are for TS 38.101-3 clause 6.2E.4.1, i.e.</w:t>
      </w:r>
    </w:p>
    <w:tbl>
      <w:tblPr>
        <w:tblStyle w:val="TableGrid"/>
        <w:tblW w:w="0" w:type="auto"/>
        <w:tblLook w:val="04A0" w:firstRow="1" w:lastRow="0" w:firstColumn="1" w:lastColumn="0" w:noHBand="0" w:noVBand="1"/>
      </w:tblPr>
      <w:tblGrid>
        <w:gridCol w:w="9631"/>
      </w:tblGrid>
      <w:tr w:rsidR="004E0831" w:rsidTr="004E0831">
        <w:tc>
          <w:tcPr>
            <w:tcW w:w="9631" w:type="dxa"/>
          </w:tcPr>
          <w:p w:rsidR="004E0831" w:rsidRPr="00EF5447" w:rsidRDefault="004E0831" w:rsidP="004E0831">
            <w:pPr>
              <w:pStyle w:val="Heading4"/>
              <w:numPr>
                <w:ilvl w:val="0"/>
                <w:numId w:val="0"/>
              </w:numPr>
              <w:outlineLvl w:val="3"/>
            </w:pPr>
            <w:bookmarkStart w:id="2" w:name="_Toc45890633"/>
            <w:bookmarkStart w:id="3" w:name="_Toc45891857"/>
            <w:bookmarkStart w:id="4" w:name="_Toc45892267"/>
            <w:bookmarkStart w:id="5" w:name="_Toc45892677"/>
            <w:bookmarkStart w:id="6" w:name="_Toc52353090"/>
            <w:bookmarkStart w:id="7" w:name="_Toc53174913"/>
            <w:bookmarkStart w:id="8" w:name="_Toc61378233"/>
            <w:bookmarkStart w:id="9" w:name="_Toc61378708"/>
            <w:bookmarkStart w:id="10" w:name="_Toc67953898"/>
            <w:bookmarkStart w:id="11" w:name="_Toc68733565"/>
            <w:bookmarkStart w:id="12" w:name="_Toc68784881"/>
            <w:bookmarkStart w:id="13" w:name="_Toc76736837"/>
            <w:bookmarkStart w:id="14" w:name="_Toc77241249"/>
            <w:bookmarkStart w:id="15" w:name="_Toc77241754"/>
            <w:bookmarkStart w:id="16" w:name="_Toc83743130"/>
            <w:bookmarkStart w:id="17" w:name="_Toc83909651"/>
            <w:r w:rsidRPr="00EF5447">
              <w:t>6.2E.4.1</w:t>
            </w:r>
            <w:r w:rsidRPr="00EF5447">
              <w:tab/>
              <w:t>UE configured output power for Intra-band V2X</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4E0831" w:rsidRPr="004E0831" w:rsidRDefault="004E0831" w:rsidP="00E20EC0">
            <w:r w:rsidRPr="00EF5447">
              <w:t>For intra-band V2X operating UE, each UE configured output power specified in clause 6.2.5G [4] and in clause 6.2E.4 [2] apply, respectively.</w:t>
            </w:r>
          </w:p>
        </w:tc>
      </w:tr>
    </w:tbl>
    <w:p w:rsidR="00E20EC0" w:rsidRDefault="004E0831" w:rsidP="002F2A06">
      <w:pPr>
        <w:spacing w:before="120"/>
      </w:pPr>
      <w:r>
        <w:rPr>
          <w:lang w:val="en-US" w:eastAsia="en-US"/>
        </w:rPr>
        <w:t xml:space="preserve">Firstly, the intra-band con-current operation scenario discussed in Rel-17 is for n79 only, which is for NR </w:t>
      </w:r>
      <w:proofErr w:type="spellStart"/>
      <w:r>
        <w:rPr>
          <w:lang w:val="en-US" w:eastAsia="en-US"/>
        </w:rPr>
        <w:t>Uu</w:t>
      </w:r>
      <w:proofErr w:type="spellEnd"/>
      <w:r>
        <w:rPr>
          <w:lang w:val="en-US" w:eastAsia="en-US"/>
        </w:rPr>
        <w:t xml:space="preserve"> and NR SL, thus the requirements should be considered in TS 38.101-1. Secondly, the requirements in </w:t>
      </w:r>
      <w:r w:rsidRPr="00EF5447">
        <w:t>6.2E.4.1</w:t>
      </w:r>
      <w:r>
        <w:t xml:space="preserve"> are specified in Rel-16, which is for ITS band only. As discussed in section 2.1, since there is no explicit indication in RAN1 for TDM or FDM operation, the requirements should cover both TDM and FDM operation generally.</w:t>
      </w:r>
    </w:p>
    <w:p w:rsidR="006930F5" w:rsidRDefault="00C24508" w:rsidP="004E0831">
      <w:pPr>
        <w:rPr>
          <w:b/>
          <w:i/>
          <w:lang w:val="en-US" w:eastAsia="en-US"/>
        </w:rPr>
      </w:pPr>
      <w:r>
        <w:rPr>
          <w:b/>
          <w:i/>
          <w:lang w:val="en-US" w:eastAsia="en-US"/>
        </w:rPr>
        <w:t>Observation 2: The clause for intra-band V2X in TS 38.101-3 is for ITS band only.</w:t>
      </w:r>
    </w:p>
    <w:p w:rsidR="004E0831" w:rsidRDefault="004E0831" w:rsidP="004E0831">
      <w:pPr>
        <w:rPr>
          <w:b/>
          <w:i/>
          <w:lang w:val="en-US" w:eastAsia="en-US"/>
        </w:rPr>
      </w:pPr>
      <w:r>
        <w:rPr>
          <w:b/>
          <w:i/>
          <w:lang w:val="en-US" w:eastAsia="en-US"/>
        </w:rPr>
        <w:t xml:space="preserve">Observation </w:t>
      </w:r>
      <w:r w:rsidR="00C24508">
        <w:rPr>
          <w:b/>
          <w:i/>
          <w:lang w:val="en-US" w:eastAsia="en-US"/>
        </w:rPr>
        <w:t>3</w:t>
      </w:r>
      <w:r>
        <w:rPr>
          <w:b/>
          <w:i/>
          <w:lang w:val="en-US" w:eastAsia="en-US"/>
        </w:rPr>
        <w:t xml:space="preserve">: Intra-band con-current operation requirements for </w:t>
      </w:r>
      <w:r w:rsidR="006C28FC">
        <w:rPr>
          <w:b/>
          <w:i/>
          <w:lang w:val="en-US" w:eastAsia="en-US"/>
        </w:rPr>
        <w:t xml:space="preserve">NR </w:t>
      </w:r>
      <w:r>
        <w:rPr>
          <w:b/>
          <w:i/>
          <w:lang w:val="en-US" w:eastAsia="en-US"/>
        </w:rPr>
        <w:t>TDD licensed band should be defined in TS 38.101-1.</w:t>
      </w:r>
      <w:r w:rsidR="00C24508">
        <w:rPr>
          <w:b/>
          <w:i/>
          <w:lang w:val="en-US" w:eastAsia="en-US"/>
        </w:rPr>
        <w:t xml:space="preserve"> Requirement of c</w:t>
      </w:r>
      <w:r w:rsidR="00C24508" w:rsidRPr="00C24508">
        <w:rPr>
          <w:b/>
          <w:i/>
          <w:lang w:val="en-US" w:eastAsia="en-US"/>
        </w:rPr>
        <w:t>onfigured transmitted power for V2X con-current operation</w:t>
      </w:r>
      <w:r w:rsidR="00C24508">
        <w:rPr>
          <w:b/>
          <w:i/>
          <w:lang w:val="en-US" w:eastAsia="en-US"/>
        </w:rPr>
        <w:t xml:space="preserve"> in TS 38.101-1 now is for inter-band operation. </w:t>
      </w:r>
    </w:p>
    <w:p w:rsidR="006930F5" w:rsidRDefault="006930F5" w:rsidP="006930F5">
      <w:pPr>
        <w:pStyle w:val="Heading3"/>
        <w:rPr>
          <w:lang w:eastAsia="en-US"/>
        </w:rPr>
      </w:pPr>
      <w:r>
        <w:rPr>
          <w:lang w:eastAsia="en-US"/>
        </w:rPr>
        <w:t>Reference for specifying the requirement</w:t>
      </w:r>
    </w:p>
    <w:p w:rsidR="004E0831" w:rsidRDefault="004E0831" w:rsidP="00E20EC0">
      <w:pPr>
        <w:rPr>
          <w:lang w:val="en-US" w:eastAsia="en-US"/>
        </w:rPr>
      </w:pPr>
      <w:r>
        <w:rPr>
          <w:lang w:val="en-US" w:eastAsia="en-US"/>
        </w:rPr>
        <w:t>If we look at the requirements for LTE-V2X, for intra-band contiguous operation, the requirements are specified as below:</w:t>
      </w:r>
    </w:p>
    <w:tbl>
      <w:tblPr>
        <w:tblStyle w:val="TableGrid"/>
        <w:tblW w:w="0" w:type="auto"/>
        <w:tblLook w:val="04A0" w:firstRow="1" w:lastRow="0" w:firstColumn="1" w:lastColumn="0" w:noHBand="0" w:noVBand="1"/>
      </w:tblPr>
      <w:tblGrid>
        <w:gridCol w:w="9631"/>
      </w:tblGrid>
      <w:tr w:rsidR="004E0831" w:rsidTr="004E0831">
        <w:tc>
          <w:tcPr>
            <w:tcW w:w="9631" w:type="dxa"/>
          </w:tcPr>
          <w:p w:rsidR="004E0831" w:rsidRPr="004E0831" w:rsidRDefault="004E0831" w:rsidP="00E20EC0">
            <w:r w:rsidRPr="001D386E">
              <w:rPr>
                <w:rFonts w:cs="Vrinda"/>
                <w:lang w:bidi="bn-IN"/>
              </w:rPr>
              <w:t xml:space="preserve">For intra-band contiguous </w:t>
            </w:r>
            <w:r w:rsidRPr="001D386E">
              <w:rPr>
                <w:rFonts w:hint="eastAsia"/>
              </w:rPr>
              <w:t>multi-carrier</w:t>
            </w:r>
            <w:r w:rsidRPr="001D386E">
              <w:rPr>
                <w:rFonts w:cs="Vrinda"/>
                <w:lang w:bidi="bn-IN"/>
              </w:rPr>
              <w:t xml:space="preserve"> operation, </w:t>
            </w:r>
            <w:proofErr w:type="spellStart"/>
            <w:r w:rsidRPr="001D386E">
              <w:t>MPR</w:t>
            </w:r>
            <w:r w:rsidRPr="001D386E">
              <w:rPr>
                <w:i/>
                <w:vertAlign w:val="subscript"/>
              </w:rPr>
              <w:t>c</w:t>
            </w:r>
            <w:proofErr w:type="spellEnd"/>
            <w:r w:rsidRPr="001D386E">
              <w:t xml:space="preserve"> = MPR</w:t>
            </w:r>
            <w:r w:rsidRPr="001D386E">
              <w:rPr>
                <w:rFonts w:hint="eastAsia"/>
              </w:rPr>
              <w:t xml:space="preserve"> </w:t>
            </w:r>
            <w:r w:rsidRPr="001D386E">
              <w:t xml:space="preserve">and </w:t>
            </w:r>
            <w:r w:rsidRPr="001D386E">
              <w:rPr>
                <w:rFonts w:hint="eastAsia"/>
              </w:rPr>
              <w:t>A-</w:t>
            </w:r>
            <w:proofErr w:type="spellStart"/>
            <w:r w:rsidRPr="001D386E">
              <w:rPr>
                <w:rFonts w:hint="eastAsia"/>
              </w:rPr>
              <w:t>MPR</w:t>
            </w:r>
            <w:r w:rsidRPr="001D386E">
              <w:rPr>
                <w:i/>
                <w:vertAlign w:val="subscript"/>
              </w:rPr>
              <w:t>c</w:t>
            </w:r>
            <w:proofErr w:type="spellEnd"/>
            <w:r w:rsidRPr="001D386E">
              <w:rPr>
                <w:rFonts w:hint="eastAsia"/>
              </w:rPr>
              <w:t xml:space="preserve"> </w:t>
            </w:r>
            <w:r w:rsidRPr="001D386E">
              <w:t xml:space="preserve">= A-MPR with </w:t>
            </w:r>
            <w:r w:rsidRPr="001D386E">
              <w:rPr>
                <w:rFonts w:hint="eastAsia"/>
              </w:rPr>
              <w:t xml:space="preserve">MPR </w:t>
            </w:r>
            <w:r w:rsidRPr="001D386E">
              <w:t>and A-MPR</w:t>
            </w:r>
            <w:r w:rsidRPr="001D386E">
              <w:rPr>
                <w:lang w:bidi="bn-IN"/>
              </w:rPr>
              <w:t xml:space="preserve"> specified in </w:t>
            </w:r>
            <w:proofErr w:type="spellStart"/>
            <w:r w:rsidRPr="001D386E">
              <w:rPr>
                <w:lang w:bidi="bn-IN"/>
              </w:rPr>
              <w:t>subclause</w:t>
            </w:r>
            <w:proofErr w:type="spellEnd"/>
            <w:r w:rsidRPr="001D386E">
              <w:rPr>
                <w:lang w:bidi="bn-IN"/>
              </w:rPr>
              <w:t xml:space="preserve"> 6.2.3</w:t>
            </w:r>
            <w:r w:rsidRPr="001D386E">
              <w:rPr>
                <w:rFonts w:hint="eastAsia"/>
                <w:lang w:bidi="bn-IN"/>
              </w:rPr>
              <w:t>G</w:t>
            </w:r>
            <w:r w:rsidRPr="001D386E">
              <w:rPr>
                <w:lang w:bidi="bn-IN"/>
              </w:rPr>
              <w:t xml:space="preserve"> and </w:t>
            </w:r>
            <w:proofErr w:type="spellStart"/>
            <w:r w:rsidRPr="001D386E">
              <w:rPr>
                <w:lang w:bidi="bn-IN"/>
              </w:rPr>
              <w:t>subclause</w:t>
            </w:r>
            <w:proofErr w:type="spellEnd"/>
            <w:r w:rsidRPr="001D386E">
              <w:rPr>
                <w:lang w:bidi="bn-IN"/>
              </w:rPr>
              <w:t xml:space="preserve"> 6.2.4</w:t>
            </w:r>
            <w:r w:rsidRPr="001D386E">
              <w:rPr>
                <w:rFonts w:hint="eastAsia"/>
                <w:lang w:bidi="bn-IN"/>
              </w:rPr>
              <w:t>G</w:t>
            </w:r>
            <w:r w:rsidRPr="001D386E">
              <w:rPr>
                <w:lang w:bidi="bn-IN"/>
              </w:rPr>
              <w:t xml:space="preserve"> respectively. There is one power management term for the UE, denoted P-MPR, and </w:t>
            </w:r>
            <w:r w:rsidRPr="001D386E">
              <w:rPr>
                <w:rFonts w:eastAsia="MS Mincho"/>
              </w:rPr>
              <w:t>P-MPR</w:t>
            </w:r>
            <w:r w:rsidRPr="001D386E">
              <w:rPr>
                <w:rFonts w:eastAsia="MS Mincho"/>
                <w:vertAlign w:val="subscript"/>
              </w:rPr>
              <w:t xml:space="preserve"> </w:t>
            </w:r>
            <w:r w:rsidRPr="001D386E">
              <w:rPr>
                <w:rFonts w:eastAsia="MS Mincho"/>
                <w:i/>
                <w:vertAlign w:val="subscript"/>
                <w:lang w:bidi="bn-IN"/>
              </w:rPr>
              <w:t>c</w:t>
            </w:r>
            <w:r w:rsidRPr="001D386E">
              <w:rPr>
                <w:rFonts w:eastAsia="MS Mincho"/>
                <w:lang w:bidi="bn-IN"/>
              </w:rPr>
              <w:t xml:space="preserve"> = P-MPR. </w:t>
            </w:r>
            <w:proofErr w:type="spellStart"/>
            <w:r w:rsidRPr="001D386E">
              <w:rPr>
                <w:lang w:bidi="bn-IN"/>
              </w:rPr>
              <w:t>P</w:t>
            </w:r>
            <w:r w:rsidRPr="001D386E">
              <w:rPr>
                <w:vertAlign w:val="subscript"/>
                <w:lang w:bidi="bn-IN"/>
              </w:rPr>
              <w:t>CMAX</w:t>
            </w:r>
            <w:proofErr w:type="gramStart"/>
            <w:r w:rsidRPr="001D386E">
              <w:rPr>
                <w:rFonts w:eastAsia="MS Mincho"/>
                <w:vertAlign w:val="subscript"/>
                <w:lang w:bidi="bn-IN"/>
              </w:rPr>
              <w:t>,</w:t>
            </w:r>
            <w:r w:rsidRPr="001D386E">
              <w:rPr>
                <w:i/>
                <w:vertAlign w:val="subscript"/>
                <w:lang w:bidi="bn-IN"/>
              </w:rPr>
              <w:t>c</w:t>
            </w:r>
            <w:proofErr w:type="spellEnd"/>
            <w:proofErr w:type="gramEnd"/>
            <w:r w:rsidRPr="001D386E">
              <w:rPr>
                <w:vertAlign w:val="subscript"/>
                <w:lang w:bidi="bn-IN"/>
              </w:rPr>
              <w:t xml:space="preserve"> </w:t>
            </w:r>
            <w:r w:rsidRPr="001D386E">
              <w:rPr>
                <w:lang w:bidi="bn-IN"/>
              </w:rPr>
              <w:t xml:space="preserve"> </w:t>
            </w:r>
            <w:r w:rsidRPr="001D386E">
              <w:t>is calculated under the assumption that the transmit power is increased by the same amount in dB on all component carriers.</w:t>
            </w:r>
          </w:p>
        </w:tc>
      </w:tr>
    </w:tbl>
    <w:p w:rsidR="004E0831" w:rsidRDefault="004E0831" w:rsidP="006C28FC">
      <w:pPr>
        <w:spacing w:before="120"/>
        <w:rPr>
          <w:lang w:val="en-US" w:eastAsia="en-US"/>
        </w:rPr>
      </w:pPr>
      <w:r>
        <w:rPr>
          <w:lang w:val="en-US" w:eastAsia="en-US"/>
        </w:rPr>
        <w:t xml:space="preserve">Noted that the total MPR/A-MPR are utilized instead the power </w:t>
      </w:r>
      <w:proofErr w:type="spellStart"/>
      <w:r>
        <w:rPr>
          <w:lang w:val="en-US" w:eastAsia="en-US"/>
        </w:rPr>
        <w:t>backoff</w:t>
      </w:r>
      <w:proofErr w:type="spellEnd"/>
      <w:r>
        <w:rPr>
          <w:lang w:val="en-US" w:eastAsia="en-US"/>
        </w:rPr>
        <w:t xml:space="preserve"> requirement specified for single carrier. </w:t>
      </w:r>
    </w:p>
    <w:p w:rsidR="004E0831" w:rsidRDefault="004E0831" w:rsidP="00E20EC0">
      <w:pPr>
        <w:rPr>
          <w:lang w:val="en-US" w:eastAsia="en-US"/>
        </w:rPr>
      </w:pPr>
      <w:r>
        <w:rPr>
          <w:lang w:val="en-US" w:eastAsia="en-US"/>
        </w:rPr>
        <w:t xml:space="preserve">In addition, for NR intra-band CA, we see the MPR/A-MPR requirements are specified in the similar manner, i.e. utilize the total power </w:t>
      </w:r>
      <w:proofErr w:type="spellStart"/>
      <w:r>
        <w:rPr>
          <w:lang w:val="en-US" w:eastAsia="en-US"/>
        </w:rPr>
        <w:t>backoff</w:t>
      </w:r>
      <w:proofErr w:type="spellEnd"/>
      <w:r>
        <w:rPr>
          <w:lang w:val="en-US" w:eastAsia="en-US"/>
        </w:rPr>
        <w:t xml:space="preserve"> instead that for single carrier. </w:t>
      </w:r>
    </w:p>
    <w:tbl>
      <w:tblPr>
        <w:tblStyle w:val="TableGrid"/>
        <w:tblW w:w="0" w:type="auto"/>
        <w:tblLook w:val="04A0" w:firstRow="1" w:lastRow="0" w:firstColumn="1" w:lastColumn="0" w:noHBand="0" w:noVBand="1"/>
      </w:tblPr>
      <w:tblGrid>
        <w:gridCol w:w="9631"/>
      </w:tblGrid>
      <w:tr w:rsidR="004E0831" w:rsidTr="004E0831">
        <w:tc>
          <w:tcPr>
            <w:tcW w:w="9631" w:type="dxa"/>
          </w:tcPr>
          <w:p w:rsidR="004E0831" w:rsidRPr="004E0831" w:rsidRDefault="004E0831" w:rsidP="00E20EC0">
            <w:r w:rsidRPr="001D386E">
              <w:rPr>
                <w:rFonts w:cs="Vrinda"/>
                <w:lang w:bidi="bn-IN"/>
              </w:rPr>
              <w:t xml:space="preserve">For uplink intra-band contiguous and non-contiguous carrier aggregation, </w:t>
            </w:r>
            <w:proofErr w:type="spellStart"/>
            <w:r w:rsidRPr="001D386E">
              <w:t>MPR</w:t>
            </w:r>
            <w:r w:rsidRPr="001D386E">
              <w:rPr>
                <w:i/>
                <w:vertAlign w:val="subscript"/>
              </w:rPr>
              <w:t>c</w:t>
            </w:r>
            <w:proofErr w:type="spellEnd"/>
            <w:r w:rsidRPr="001D386E">
              <w:t xml:space="preserve"> = MPR</w:t>
            </w:r>
            <w:r w:rsidRPr="001D386E">
              <w:rPr>
                <w:rFonts w:hint="eastAsia"/>
              </w:rPr>
              <w:t xml:space="preserve"> </w:t>
            </w:r>
            <w:r w:rsidRPr="001D386E">
              <w:t xml:space="preserve">and </w:t>
            </w:r>
            <w:r w:rsidRPr="001D386E">
              <w:rPr>
                <w:rFonts w:hint="eastAsia"/>
              </w:rPr>
              <w:t>A-</w:t>
            </w:r>
            <w:proofErr w:type="spellStart"/>
            <w:r w:rsidRPr="001D386E">
              <w:rPr>
                <w:rFonts w:hint="eastAsia"/>
              </w:rPr>
              <w:t>MPR</w:t>
            </w:r>
            <w:r w:rsidRPr="001D386E">
              <w:rPr>
                <w:i/>
                <w:vertAlign w:val="subscript"/>
              </w:rPr>
              <w:t>c</w:t>
            </w:r>
            <w:proofErr w:type="spellEnd"/>
            <w:r w:rsidRPr="001D386E">
              <w:rPr>
                <w:rFonts w:hint="eastAsia"/>
              </w:rPr>
              <w:t xml:space="preserve"> </w:t>
            </w:r>
            <w:r w:rsidRPr="001D386E">
              <w:t xml:space="preserve">= A-MPR with </w:t>
            </w:r>
            <w:r w:rsidRPr="001D386E">
              <w:rPr>
                <w:rFonts w:hint="eastAsia"/>
              </w:rPr>
              <w:t xml:space="preserve">MPR </w:t>
            </w:r>
            <w:r w:rsidRPr="001D386E">
              <w:t>and A-MPR</w:t>
            </w:r>
            <w:r w:rsidRPr="001D386E">
              <w:rPr>
                <w:lang w:bidi="bn-IN"/>
              </w:rPr>
              <w:t xml:space="preserve"> specified in </w:t>
            </w:r>
            <w:proofErr w:type="spellStart"/>
            <w:r w:rsidRPr="001D386E">
              <w:rPr>
                <w:lang w:bidi="bn-IN"/>
              </w:rPr>
              <w:t>subclause</w:t>
            </w:r>
            <w:proofErr w:type="spellEnd"/>
            <w:r w:rsidRPr="001D386E">
              <w:rPr>
                <w:lang w:bidi="bn-IN"/>
              </w:rPr>
              <w:t xml:space="preserve"> 6.2.3A and </w:t>
            </w:r>
            <w:proofErr w:type="spellStart"/>
            <w:r w:rsidRPr="001D386E">
              <w:rPr>
                <w:lang w:bidi="bn-IN"/>
              </w:rPr>
              <w:t>subclause</w:t>
            </w:r>
            <w:proofErr w:type="spellEnd"/>
            <w:r w:rsidRPr="001D386E">
              <w:rPr>
                <w:lang w:bidi="bn-IN"/>
              </w:rPr>
              <w:t xml:space="preserve"> 6.2.4A respectively. There is one power management term for the UE, denoted P-MPR, and </w:t>
            </w:r>
            <w:r w:rsidRPr="001D386E">
              <w:rPr>
                <w:rFonts w:eastAsia="MS Mincho"/>
              </w:rPr>
              <w:t>P-MPR</w:t>
            </w:r>
            <w:r w:rsidRPr="001D386E">
              <w:rPr>
                <w:rFonts w:eastAsia="MS Mincho"/>
                <w:vertAlign w:val="subscript"/>
              </w:rPr>
              <w:t xml:space="preserve"> </w:t>
            </w:r>
            <w:r w:rsidRPr="001D386E">
              <w:rPr>
                <w:rFonts w:eastAsia="MS Mincho"/>
                <w:i/>
                <w:vertAlign w:val="subscript"/>
                <w:lang w:bidi="bn-IN"/>
              </w:rPr>
              <w:t>c</w:t>
            </w:r>
            <w:r w:rsidRPr="001D386E">
              <w:rPr>
                <w:rFonts w:eastAsia="MS Mincho"/>
                <w:lang w:bidi="bn-IN"/>
              </w:rPr>
              <w:t xml:space="preserve"> = P-MPR. </w:t>
            </w:r>
            <w:proofErr w:type="spellStart"/>
            <w:r w:rsidRPr="001D386E">
              <w:rPr>
                <w:lang w:bidi="bn-IN"/>
              </w:rPr>
              <w:t>P</w:t>
            </w:r>
            <w:r w:rsidRPr="001D386E">
              <w:rPr>
                <w:vertAlign w:val="subscript"/>
                <w:lang w:bidi="bn-IN"/>
              </w:rPr>
              <w:t>CMAX</w:t>
            </w:r>
            <w:proofErr w:type="gramStart"/>
            <w:r w:rsidRPr="001D386E">
              <w:rPr>
                <w:rFonts w:eastAsia="MS Mincho"/>
                <w:vertAlign w:val="subscript"/>
                <w:lang w:bidi="bn-IN"/>
              </w:rPr>
              <w:t>,</w:t>
            </w:r>
            <w:r w:rsidRPr="001D386E">
              <w:rPr>
                <w:i/>
                <w:vertAlign w:val="subscript"/>
                <w:lang w:bidi="bn-IN"/>
              </w:rPr>
              <w:t>c</w:t>
            </w:r>
            <w:proofErr w:type="spellEnd"/>
            <w:proofErr w:type="gramEnd"/>
            <w:r w:rsidRPr="001D386E">
              <w:rPr>
                <w:vertAlign w:val="subscript"/>
                <w:lang w:bidi="bn-IN"/>
              </w:rPr>
              <w:t xml:space="preserve"> </w:t>
            </w:r>
            <w:r w:rsidRPr="001D386E">
              <w:rPr>
                <w:lang w:bidi="bn-IN"/>
              </w:rPr>
              <w:t xml:space="preserve"> </w:t>
            </w:r>
            <w:r w:rsidRPr="001D386E">
              <w:t>is calculated under the assumption that the transmit power is increased by the same amount in dB on all component carriers.</w:t>
            </w:r>
          </w:p>
        </w:tc>
      </w:tr>
    </w:tbl>
    <w:p w:rsidR="004E0831" w:rsidRDefault="004E0831" w:rsidP="006C28FC">
      <w:pPr>
        <w:spacing w:before="120"/>
        <w:rPr>
          <w:lang w:val="en-US" w:eastAsia="en-US"/>
        </w:rPr>
      </w:pPr>
      <w:r>
        <w:rPr>
          <w:lang w:val="en-US" w:eastAsia="en-US"/>
        </w:rPr>
        <w:t xml:space="preserve">It is noted that for intra-band CA, there could be the case that </w:t>
      </w:r>
      <w:proofErr w:type="spellStart"/>
      <w:r>
        <w:rPr>
          <w:lang w:val="en-US" w:eastAsia="en-US"/>
        </w:rPr>
        <w:t>SCell</w:t>
      </w:r>
      <w:proofErr w:type="spellEnd"/>
      <w:r>
        <w:rPr>
          <w:lang w:val="en-US" w:eastAsia="en-US"/>
        </w:rPr>
        <w:t xml:space="preserve"> is configured by not activated. But for simplicity, the requirements do not differentiate the cases, but still use the total power back off, i.e. MPR and A-MPR. </w:t>
      </w:r>
    </w:p>
    <w:p w:rsidR="004E0831" w:rsidRPr="00E20EC0" w:rsidRDefault="004500C8" w:rsidP="00E20EC0">
      <w:pPr>
        <w:rPr>
          <w:lang w:val="en-US" w:eastAsia="en-US"/>
        </w:rPr>
      </w:pPr>
      <w:r>
        <w:rPr>
          <w:lang w:val="en-US" w:eastAsia="en-US"/>
        </w:rPr>
        <w:t xml:space="preserve">For NR V2X, the basic principle specifying the configured output power for LTE-V and NR intra-band CA can be considered. </w:t>
      </w:r>
    </w:p>
    <w:p w:rsidR="004500C8" w:rsidRDefault="005369EE" w:rsidP="005369EE">
      <w:pPr>
        <w:rPr>
          <w:b/>
          <w:i/>
          <w:lang w:val="en-US" w:eastAsia="en-US"/>
        </w:rPr>
      </w:pPr>
      <w:r>
        <w:rPr>
          <w:b/>
          <w:i/>
          <w:lang w:val="en-US" w:eastAsia="en-US"/>
        </w:rPr>
        <w:lastRenderedPageBreak/>
        <w:t xml:space="preserve">Observation </w:t>
      </w:r>
      <w:r w:rsidR="0005486D">
        <w:rPr>
          <w:b/>
          <w:i/>
          <w:lang w:val="en-US" w:eastAsia="en-US"/>
        </w:rPr>
        <w:t>4</w:t>
      </w:r>
      <w:r>
        <w:rPr>
          <w:b/>
          <w:i/>
          <w:lang w:val="en-US" w:eastAsia="en-US"/>
        </w:rPr>
        <w:t xml:space="preserve">: </w:t>
      </w:r>
      <w:r w:rsidR="004500C8">
        <w:rPr>
          <w:b/>
          <w:i/>
          <w:lang w:val="en-US" w:eastAsia="en-US"/>
        </w:rPr>
        <w:t xml:space="preserve">For intra-band LTE-V and NR CA, total power </w:t>
      </w:r>
      <w:proofErr w:type="spellStart"/>
      <w:r w:rsidR="004500C8">
        <w:rPr>
          <w:b/>
          <w:i/>
          <w:lang w:val="en-US" w:eastAsia="en-US"/>
        </w:rPr>
        <w:t>backoff</w:t>
      </w:r>
      <w:proofErr w:type="spellEnd"/>
      <w:r w:rsidR="004500C8">
        <w:rPr>
          <w:b/>
          <w:i/>
          <w:lang w:val="en-US" w:eastAsia="en-US"/>
        </w:rPr>
        <w:t xml:space="preserve"> for simultaneous transmission should be reflected in the configured output power requirement. </w:t>
      </w:r>
    </w:p>
    <w:p w:rsidR="006930F5" w:rsidRPr="006930F5" w:rsidRDefault="006930F5" w:rsidP="006930F5">
      <w:pPr>
        <w:pStyle w:val="Heading3"/>
        <w:rPr>
          <w:lang w:eastAsia="en-US"/>
        </w:rPr>
      </w:pPr>
      <w:r>
        <w:rPr>
          <w:lang w:eastAsia="en-US"/>
        </w:rPr>
        <w:t xml:space="preserve">Cases for NR-V2X </w:t>
      </w:r>
      <w:r w:rsidR="00C24508">
        <w:rPr>
          <w:lang w:eastAsia="en-US"/>
        </w:rPr>
        <w:t xml:space="preserve">intra-band </w:t>
      </w:r>
      <w:r>
        <w:rPr>
          <w:lang w:eastAsia="en-US"/>
        </w:rPr>
        <w:t>con-current operation</w:t>
      </w:r>
    </w:p>
    <w:p w:rsidR="004500C8" w:rsidRDefault="002C1C27" w:rsidP="005369EE">
      <w:pPr>
        <w:rPr>
          <w:rFonts w:eastAsia="MS Mincho"/>
          <w:lang w:eastAsia="ja-JP"/>
        </w:rPr>
      </w:pPr>
      <w:r>
        <w:rPr>
          <w:lang w:val="en-US" w:eastAsia="en-US"/>
        </w:rPr>
        <w:t xml:space="preserve">Intra-band con-current operation contains both </w:t>
      </w:r>
      <w:proofErr w:type="spellStart"/>
      <w:r>
        <w:rPr>
          <w:lang w:val="en-US" w:eastAsia="en-US"/>
        </w:rPr>
        <w:t>Uu</w:t>
      </w:r>
      <w:proofErr w:type="spellEnd"/>
      <w:r>
        <w:rPr>
          <w:lang w:val="en-US" w:eastAsia="en-US"/>
        </w:rPr>
        <w:t xml:space="preserve"> and SL, which occurs for in coverage scenario. </w:t>
      </w:r>
      <w:r>
        <w:t xml:space="preserve">A </w:t>
      </w:r>
      <w:proofErr w:type="spellStart"/>
      <w:r>
        <w:t>sidelink</w:t>
      </w:r>
      <w:proofErr w:type="spellEnd"/>
      <w:r>
        <w:t xml:space="preserve"> resource pool </w:t>
      </w:r>
      <w:r w:rsidRPr="007744E6">
        <w:rPr>
          <w:rFonts w:eastAsia="MS Mincho"/>
          <w:lang w:eastAsia="ja-JP"/>
        </w:rPr>
        <w:t xml:space="preserve">can be </w:t>
      </w:r>
      <w:r>
        <w:rPr>
          <w:rFonts w:eastAsia="MS Mincho"/>
          <w:lang w:eastAsia="ja-JP"/>
        </w:rPr>
        <w:t xml:space="preserve">associated with either </w:t>
      </w:r>
      <w:proofErr w:type="spellStart"/>
      <w:r>
        <w:rPr>
          <w:rFonts w:eastAsia="MS Mincho"/>
          <w:lang w:eastAsia="ja-JP"/>
        </w:rPr>
        <w:t>sidelink</w:t>
      </w:r>
      <w:proofErr w:type="spellEnd"/>
      <w:r>
        <w:rPr>
          <w:rFonts w:eastAsia="MS Mincho"/>
          <w:lang w:eastAsia="ja-JP"/>
        </w:rPr>
        <w:t xml:space="preserve"> resource allocation mode 1 or </w:t>
      </w:r>
      <w:proofErr w:type="spellStart"/>
      <w:r>
        <w:rPr>
          <w:rFonts w:eastAsia="MS Mincho"/>
          <w:lang w:eastAsia="ja-JP"/>
        </w:rPr>
        <w:t>sidelink</w:t>
      </w:r>
      <w:proofErr w:type="spellEnd"/>
      <w:r>
        <w:rPr>
          <w:rFonts w:eastAsia="MS Mincho"/>
          <w:lang w:eastAsia="ja-JP"/>
        </w:rPr>
        <w:t xml:space="preserve"> resource allocation mode 2. </w:t>
      </w:r>
    </w:p>
    <w:p w:rsidR="004643CB" w:rsidRDefault="008C019D" w:rsidP="005369EE">
      <w:pPr>
        <w:rPr>
          <w:lang w:bidi="bn-IN"/>
        </w:rPr>
      </w:pPr>
      <w:r>
        <w:rPr>
          <w:rFonts w:eastAsia="MS Mincho"/>
          <w:lang w:eastAsia="ja-JP"/>
        </w:rPr>
        <w:t xml:space="preserve">For mode 1, even the SL resource is allocated in resource pool, the specific resource used in the resource pool should be indicated via </w:t>
      </w:r>
      <w:proofErr w:type="spellStart"/>
      <w:r>
        <w:rPr>
          <w:rFonts w:eastAsia="MS Mincho"/>
          <w:lang w:eastAsia="ja-JP"/>
        </w:rPr>
        <w:t>Uu</w:t>
      </w:r>
      <w:proofErr w:type="spellEnd"/>
      <w:r>
        <w:rPr>
          <w:rFonts w:eastAsia="MS Mincho"/>
          <w:lang w:eastAsia="ja-JP"/>
        </w:rPr>
        <w:t xml:space="preserve">, con-current operation only happens for UE in </w:t>
      </w:r>
      <w:r w:rsidRPr="00055908">
        <w:rPr>
          <w:rFonts w:eastAsia="MS Mincho"/>
          <w:lang w:eastAsia="ja-JP"/>
        </w:rPr>
        <w:t>RRC_CONNECTED state</w:t>
      </w:r>
      <w:r>
        <w:rPr>
          <w:rFonts w:eastAsia="MS Mincho"/>
          <w:lang w:eastAsia="ja-JP"/>
        </w:rPr>
        <w:t xml:space="preserve">. Similar to intra-band UL CA, the configured output power based on total power </w:t>
      </w:r>
      <w:proofErr w:type="spellStart"/>
      <w:r>
        <w:rPr>
          <w:rFonts w:eastAsia="MS Mincho"/>
          <w:lang w:eastAsia="ja-JP"/>
        </w:rPr>
        <w:t>backoff</w:t>
      </w:r>
      <w:proofErr w:type="spellEnd"/>
      <w:r>
        <w:rPr>
          <w:rFonts w:eastAsia="MS Mincho"/>
          <w:lang w:eastAsia="ja-JP"/>
        </w:rPr>
        <w:t xml:space="preserve"> can be defined for simultaneous UL and SL transmission. However, to better utilize the UE output power, for the case that </w:t>
      </w:r>
      <w:proofErr w:type="spellStart"/>
      <w:r>
        <w:rPr>
          <w:rFonts w:eastAsia="MS Mincho"/>
          <w:lang w:eastAsia="ja-JP"/>
        </w:rPr>
        <w:t>Uu</w:t>
      </w:r>
      <w:proofErr w:type="spellEnd"/>
      <w:r>
        <w:rPr>
          <w:rFonts w:eastAsia="MS Mincho"/>
          <w:lang w:eastAsia="ja-JP"/>
        </w:rPr>
        <w:t xml:space="preserve"> and SL transmission are not overlapped in time, the </w:t>
      </w:r>
      <w:r>
        <w:rPr>
          <w:lang w:bidi="bn-IN"/>
        </w:rPr>
        <w:t xml:space="preserve">configured output power </w:t>
      </w:r>
      <w:proofErr w:type="spellStart"/>
      <w:r>
        <w:rPr>
          <w:lang w:bidi="bn-IN"/>
        </w:rPr>
        <w:t>P</w:t>
      </w:r>
      <w:r>
        <w:rPr>
          <w:vertAlign w:val="subscript"/>
          <w:lang w:bidi="bn-IN"/>
        </w:rPr>
        <w:t>CMAX,</w:t>
      </w:r>
      <w:r>
        <w:rPr>
          <w:i/>
          <w:vertAlign w:val="subscript"/>
          <w:lang w:bidi="bn-IN"/>
        </w:rPr>
        <w:t>c</w:t>
      </w:r>
      <w:proofErr w:type="spellEnd"/>
      <w:r>
        <w:rPr>
          <w:vertAlign w:val="subscript"/>
          <w:lang w:bidi="bn-IN"/>
        </w:rPr>
        <w:t xml:space="preserve"> </w:t>
      </w:r>
      <w:r>
        <w:rPr>
          <w:lang w:bidi="bn-IN"/>
        </w:rPr>
        <w:t xml:space="preserve">specified for </w:t>
      </w:r>
      <w:proofErr w:type="spellStart"/>
      <w:r>
        <w:rPr>
          <w:lang w:bidi="bn-IN"/>
        </w:rPr>
        <w:t>Uu</w:t>
      </w:r>
      <w:proofErr w:type="spellEnd"/>
      <w:r>
        <w:rPr>
          <w:lang w:bidi="bn-IN"/>
        </w:rPr>
        <w:t xml:space="preserve"> and SL transmission respectively can be applied. </w:t>
      </w:r>
    </w:p>
    <w:p w:rsidR="00D3464F" w:rsidRDefault="008C019D" w:rsidP="005369EE">
      <w:pPr>
        <w:rPr>
          <w:rFonts w:eastAsia="MS Mincho"/>
          <w:lang w:eastAsia="ja-JP"/>
        </w:rPr>
      </w:pPr>
      <w:r>
        <w:rPr>
          <w:lang w:val="en-US" w:eastAsia="en-US"/>
        </w:rPr>
        <w:t xml:space="preserve">For mode 2, when UE is in </w:t>
      </w:r>
      <w:r>
        <w:rPr>
          <w:rFonts w:eastAsia="MS Mincho"/>
          <w:lang w:eastAsia="ja-JP"/>
        </w:rPr>
        <w:t xml:space="preserve">in </w:t>
      </w:r>
      <w:r w:rsidRPr="00055908">
        <w:rPr>
          <w:rFonts w:eastAsia="MS Mincho"/>
          <w:lang w:eastAsia="ja-JP"/>
        </w:rPr>
        <w:t>RRC_CONNECTED state</w:t>
      </w:r>
      <w:r>
        <w:rPr>
          <w:rFonts w:eastAsia="MS Mincho"/>
          <w:lang w:eastAsia="ja-JP"/>
        </w:rPr>
        <w:t>, similar to mode 1, the configured output power can also be applied for cases where UL and SL transmission are overlapped or non-overlapped</w:t>
      </w:r>
      <w:r w:rsidR="00E34EB2">
        <w:rPr>
          <w:rFonts w:eastAsia="MS Mincho"/>
          <w:lang w:eastAsia="ja-JP"/>
        </w:rPr>
        <w:t xml:space="preserve">, which depends on the condition whether the timing info for SL transmission before UL transmission is available, as preparation procedure time for SL transmission could be much longer than that for </w:t>
      </w:r>
      <w:proofErr w:type="spellStart"/>
      <w:r w:rsidR="00E34EB2">
        <w:rPr>
          <w:rFonts w:eastAsia="MS Mincho"/>
          <w:lang w:eastAsia="ja-JP"/>
        </w:rPr>
        <w:t>Uu</w:t>
      </w:r>
      <w:proofErr w:type="spellEnd"/>
      <w:r w:rsidR="00E34EB2">
        <w:rPr>
          <w:rFonts w:eastAsia="MS Mincho"/>
          <w:lang w:eastAsia="ja-JP"/>
        </w:rPr>
        <w:t xml:space="preserve"> according to the RAN1 specification. </w:t>
      </w:r>
    </w:p>
    <w:p w:rsidR="008C019D" w:rsidRPr="00D3464F" w:rsidRDefault="00D3464F" w:rsidP="005369EE">
      <w:pPr>
        <w:rPr>
          <w:rFonts w:eastAsia="MS Mincho"/>
          <w:lang w:eastAsia="ja-JP"/>
        </w:rPr>
      </w:pPr>
      <w:r>
        <w:rPr>
          <w:rFonts w:eastAsia="MS Mincho"/>
          <w:lang w:eastAsia="ja-JP"/>
        </w:rPr>
        <w:t>Since</w:t>
      </w:r>
      <w:r w:rsidR="00E34EB2">
        <w:rPr>
          <w:rFonts w:eastAsia="MS Mincho"/>
          <w:lang w:eastAsia="ja-JP"/>
        </w:rPr>
        <w:t xml:space="preserve"> the resource </w:t>
      </w:r>
      <w:r>
        <w:rPr>
          <w:rFonts w:eastAsia="MS Mincho"/>
          <w:lang w:eastAsia="ja-JP"/>
        </w:rPr>
        <w:t xml:space="preserve">for SL mode 2 is preconfigured in the resource pool, for cases the UE in the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w:t>
      </w:r>
      <w:r w:rsidRPr="005A4AF4">
        <w:rPr>
          <w:rFonts w:eastAsia="MS Mincho"/>
          <w:lang w:eastAsia="ja-JP"/>
        </w:rPr>
        <w:t>RRC_IDLE state</w:t>
      </w:r>
      <w:r>
        <w:rPr>
          <w:rFonts w:eastAsia="MS Mincho"/>
          <w:lang w:eastAsia="ja-JP"/>
        </w:rPr>
        <w:t xml:space="preserve">, the applicable requirements could be different. As discussed in last RAN4 meeting for the reply LS for SDT, at least for SDT, UL transmission can be supported even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thus the requirements should also consider possible simultaneous transmission in this case. While for UE is in </w:t>
      </w:r>
      <w:r w:rsidRPr="005A4AF4">
        <w:rPr>
          <w:rFonts w:eastAsia="MS Mincho"/>
          <w:lang w:eastAsia="ja-JP"/>
        </w:rPr>
        <w:t>RRC_IDLE state</w:t>
      </w:r>
      <w:r>
        <w:rPr>
          <w:rFonts w:eastAsia="MS Mincho"/>
          <w:lang w:eastAsia="ja-JP"/>
        </w:rPr>
        <w:t>, the case would be relatively simple, and only SL transmission based on preconfigured resource is considered.</w:t>
      </w:r>
    </w:p>
    <w:p w:rsidR="00167F84" w:rsidRPr="005369EE" w:rsidRDefault="00167F84" w:rsidP="005369EE">
      <w:pPr>
        <w:rPr>
          <w:b/>
          <w:i/>
          <w:lang w:val="en-US" w:eastAsia="en-US"/>
        </w:rPr>
      </w:pPr>
      <w:r w:rsidRPr="005369EE">
        <w:rPr>
          <w:b/>
          <w:i/>
          <w:lang w:val="en-US" w:eastAsia="en-US"/>
        </w:rPr>
        <w:t>Proposal 1:</w:t>
      </w:r>
      <w:r w:rsidR="002C1C27">
        <w:rPr>
          <w:b/>
          <w:i/>
          <w:lang w:val="en-US" w:eastAsia="en-US"/>
        </w:rPr>
        <w:t xml:space="preserve"> It is proposed that the configured output power requirement for NR-V2X intra-band con-current operation should cover different cases in both SL mode 1 and mode 2 for in coverage scenario.</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2C1C27">
        <w:t xml:space="preserve">further consideration on </w:t>
      </w:r>
      <w:proofErr w:type="spellStart"/>
      <w:r w:rsidR="002C1C27">
        <w:t>Pcmax</w:t>
      </w:r>
      <w:proofErr w:type="spellEnd"/>
      <w:r w:rsidR="002C1C27">
        <w:t xml:space="preserve"> requirement for NR V2X intra-band con-current operation. As there is no explicit TDM or FDM operation defined in RAN1 spec, the requirement should consider all possible resource allocation cases in SL mode 1 and mode 2. Requirements for intra-band LTE-V and intra-band NR CA can be reference for deriving the configured output power for overlapped UL and SL transmission, for non-overlapping transmission, </w:t>
      </w:r>
      <w:proofErr w:type="spellStart"/>
      <w:r w:rsidR="0025680C">
        <w:t>Pcmax</w:t>
      </w:r>
      <w:proofErr w:type="spellEnd"/>
      <w:r w:rsidR="0025680C">
        <w:t xml:space="preserve"> per </w:t>
      </w:r>
      <w:proofErr w:type="spellStart"/>
      <w:r w:rsidR="0025680C">
        <w:t>Uu</w:t>
      </w:r>
      <w:proofErr w:type="spellEnd"/>
      <w:r w:rsidR="0025680C">
        <w:t xml:space="preserve"> or SL should be considered additionally. </w:t>
      </w:r>
    </w:p>
    <w:p w:rsidR="00D3464F" w:rsidRDefault="00D3464F" w:rsidP="00D3464F">
      <w:pPr>
        <w:rPr>
          <w:b/>
          <w:i/>
          <w:lang w:val="en-US" w:eastAsia="en-US"/>
        </w:rPr>
      </w:pPr>
      <w:r>
        <w:rPr>
          <w:b/>
          <w:i/>
          <w:lang w:val="en-US" w:eastAsia="en-US"/>
        </w:rPr>
        <w:t>Observation 1: From the RAN1 specification, it is observed that there are no clear indication of the TDM or FDM operation from resource allocation perspective.</w:t>
      </w:r>
    </w:p>
    <w:p w:rsidR="00D3464F" w:rsidRDefault="00D3464F" w:rsidP="00D3464F">
      <w:pPr>
        <w:rPr>
          <w:b/>
          <w:i/>
          <w:lang w:val="en-US" w:eastAsia="en-US"/>
        </w:rPr>
      </w:pPr>
      <w:r>
        <w:rPr>
          <w:b/>
          <w:i/>
          <w:lang w:val="en-US" w:eastAsia="en-US"/>
        </w:rPr>
        <w:t>Observation 2: The clause for intra-band V2X in TS 38.101-3 is for ITS band only.</w:t>
      </w:r>
    </w:p>
    <w:p w:rsidR="00D3464F" w:rsidRDefault="00D3464F" w:rsidP="00D3464F">
      <w:pPr>
        <w:rPr>
          <w:b/>
          <w:i/>
          <w:lang w:val="en-US" w:eastAsia="en-US"/>
        </w:rPr>
      </w:pPr>
      <w:r>
        <w:rPr>
          <w:b/>
          <w:i/>
          <w:lang w:val="en-US" w:eastAsia="en-US"/>
        </w:rPr>
        <w:t>Observation 3: Intra-band con-current operation requirements for NR TDD licensed band should be defined in TS 38.101-1. Requirement of c</w:t>
      </w:r>
      <w:r w:rsidRPr="00C24508">
        <w:rPr>
          <w:b/>
          <w:i/>
          <w:lang w:val="en-US" w:eastAsia="en-US"/>
        </w:rPr>
        <w:t>onfigured transmitted power for V2X con-current operation</w:t>
      </w:r>
      <w:r>
        <w:rPr>
          <w:b/>
          <w:i/>
          <w:lang w:val="en-US" w:eastAsia="en-US"/>
        </w:rPr>
        <w:t xml:space="preserve"> in TS 38.101-1 now is for inter-band operation. </w:t>
      </w:r>
    </w:p>
    <w:p w:rsidR="00D3464F" w:rsidRDefault="00D3464F" w:rsidP="00D3464F">
      <w:pPr>
        <w:rPr>
          <w:b/>
          <w:i/>
          <w:lang w:val="en-US" w:eastAsia="en-US"/>
        </w:rPr>
      </w:pPr>
      <w:r>
        <w:rPr>
          <w:b/>
          <w:i/>
          <w:lang w:val="en-US" w:eastAsia="en-US"/>
        </w:rPr>
        <w:t xml:space="preserve">Observation 4: For intra-band LTE-V and NR CA, total power </w:t>
      </w:r>
      <w:proofErr w:type="spellStart"/>
      <w:r>
        <w:rPr>
          <w:b/>
          <w:i/>
          <w:lang w:val="en-US" w:eastAsia="en-US"/>
        </w:rPr>
        <w:t>backoff</w:t>
      </w:r>
      <w:proofErr w:type="spellEnd"/>
      <w:r>
        <w:rPr>
          <w:b/>
          <w:i/>
          <w:lang w:val="en-US" w:eastAsia="en-US"/>
        </w:rPr>
        <w:t xml:space="preserve"> for simultaneous transmission should be reflected in the configured output power requirement. </w:t>
      </w:r>
    </w:p>
    <w:p w:rsidR="00D3464F" w:rsidRPr="005369EE" w:rsidRDefault="00D3464F" w:rsidP="00D3464F">
      <w:pPr>
        <w:rPr>
          <w:b/>
          <w:i/>
          <w:lang w:val="en-US" w:eastAsia="en-US"/>
        </w:rPr>
      </w:pPr>
      <w:r w:rsidRPr="005369EE">
        <w:rPr>
          <w:b/>
          <w:i/>
          <w:lang w:val="en-US" w:eastAsia="en-US"/>
        </w:rPr>
        <w:t>Proposal 1:</w:t>
      </w:r>
      <w:r>
        <w:rPr>
          <w:b/>
          <w:i/>
          <w:lang w:val="en-US" w:eastAsia="en-US"/>
        </w:rPr>
        <w:t xml:space="preserve"> It is proposed that the configured output power requirement for NR-V2X intra-band con-current operation should cover different cases in both SL mode 1 and mode 2 for in coverage scenario.</w:t>
      </w:r>
    </w:p>
    <w:p w:rsidR="0025680C" w:rsidRPr="0025680C" w:rsidRDefault="0025680C" w:rsidP="005369EE">
      <w:pPr>
        <w:rPr>
          <w:lang w:val="en-US" w:eastAsia="en-US"/>
        </w:rPr>
      </w:pPr>
      <w:r>
        <w:rPr>
          <w:lang w:val="en-US" w:eastAsia="en-US"/>
        </w:rPr>
        <w:t xml:space="preserve">A CR for configured transmitter power for </w:t>
      </w:r>
      <w:r>
        <w:t>NR V2X intra-band con-current is provide in [].</w:t>
      </w:r>
    </w:p>
    <w:p w:rsidR="00B22DA6" w:rsidRDefault="00B22DA6" w:rsidP="00B22DA6">
      <w:pPr>
        <w:pStyle w:val="Heading1"/>
        <w:numPr>
          <w:ilvl w:val="0"/>
          <w:numId w:val="0"/>
        </w:numPr>
        <w:rPr>
          <w:rFonts w:eastAsia="宋体"/>
          <w:lang w:eastAsia="zh-CN"/>
        </w:rPr>
      </w:pPr>
      <w:r>
        <w:t>References</w:t>
      </w:r>
    </w:p>
    <w:p w:rsidR="00C53757" w:rsidRDefault="0035262B" w:rsidP="00F71A33">
      <w:r>
        <w:rPr>
          <w:rFonts w:hint="eastAsia"/>
        </w:rPr>
        <w:t>[1]</w:t>
      </w:r>
      <w:r w:rsidR="005369EE">
        <w:t xml:space="preserve"> </w:t>
      </w:r>
      <w:bookmarkStart w:id="18" w:name="OLE_LINK1"/>
      <w:r w:rsidR="00DE4114" w:rsidRPr="00DE4114">
        <w:rPr>
          <w:rFonts w:hint="eastAsia"/>
        </w:rPr>
        <w:t>R4-2112602</w:t>
      </w:r>
      <w:bookmarkEnd w:id="18"/>
      <w:r w:rsidR="00DE4114">
        <w:t xml:space="preserve">, </w:t>
      </w:r>
      <w:r w:rsidR="004E0831" w:rsidRPr="004E0831">
        <w:t>draft CR for TS 38.101-3 PEMAX for intra-band concurrent operation</w:t>
      </w:r>
      <w:r w:rsidR="00DE4114">
        <w:t>, Xiaomi</w:t>
      </w:r>
    </w:p>
    <w:p w:rsidR="00DE4114" w:rsidRDefault="000534A4" w:rsidP="00F71A33">
      <w:r>
        <w:t xml:space="preserve">[2] </w:t>
      </w:r>
      <w:r w:rsidR="004165D0" w:rsidRPr="004165D0">
        <w:t>R4-2119535</w:t>
      </w:r>
      <w:bookmarkStart w:id="19" w:name="_GoBack"/>
      <w:bookmarkEnd w:id="19"/>
      <w:r>
        <w:t xml:space="preserve">, </w:t>
      </w:r>
      <w:r w:rsidRPr="000534A4">
        <w:t>CR for TS 38.101-1 Configured transmitted power for NR V2X intra-band con-current operation</w:t>
      </w:r>
      <w:r>
        <w:t>, Huawei, HiSilicon</w:t>
      </w:r>
    </w:p>
    <w:sectPr w:rsidR="00DE411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22C0" w:rsidRDefault="007122C0" w:rsidP="0052762B">
      <w:r>
        <w:separator/>
      </w:r>
    </w:p>
  </w:endnote>
  <w:endnote w:type="continuationSeparator" w:id="0">
    <w:p w:rsidR="007122C0" w:rsidRDefault="007122C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1"/>
    <w:family w:val="roman"/>
    <w:notTrueType/>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22C0" w:rsidRDefault="007122C0" w:rsidP="0052762B">
      <w:r>
        <w:separator/>
      </w:r>
    </w:p>
  </w:footnote>
  <w:footnote w:type="continuationSeparator" w:id="0">
    <w:p w:rsidR="007122C0" w:rsidRDefault="007122C0"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5"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7"/>
  </w:num>
  <w:num w:numId="5">
    <w:abstractNumId w:val="1"/>
  </w:num>
  <w:num w:numId="6">
    <w:abstractNumId w:val="36"/>
  </w:num>
  <w:num w:numId="7">
    <w:abstractNumId w:val="17"/>
  </w:num>
  <w:num w:numId="8">
    <w:abstractNumId w:val="30"/>
  </w:num>
  <w:num w:numId="9">
    <w:abstractNumId w:val="39"/>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5"/>
  </w:num>
  <w:num w:numId="25">
    <w:abstractNumId w:val="8"/>
  </w:num>
  <w:num w:numId="26">
    <w:abstractNumId w:val="34"/>
  </w:num>
  <w:num w:numId="27">
    <w:abstractNumId w:val="33"/>
  </w:num>
  <w:num w:numId="28">
    <w:abstractNumId w:val="18"/>
  </w:num>
  <w:num w:numId="29">
    <w:abstractNumId w:val="38"/>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61F"/>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4A4"/>
    <w:rsid w:val="0005366B"/>
    <w:rsid w:val="00054062"/>
    <w:rsid w:val="0005486D"/>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B1"/>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1A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680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C27"/>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6E7C"/>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A06"/>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A51"/>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5D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0C8"/>
    <w:rsid w:val="0045053D"/>
    <w:rsid w:val="004508E8"/>
    <w:rsid w:val="0045097C"/>
    <w:rsid w:val="00450F8D"/>
    <w:rsid w:val="00451702"/>
    <w:rsid w:val="004518E0"/>
    <w:rsid w:val="00451A78"/>
    <w:rsid w:val="00451AB1"/>
    <w:rsid w:val="00451F63"/>
    <w:rsid w:val="004520A7"/>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3CB"/>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1F84"/>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831"/>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0F5"/>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28FC"/>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22C0"/>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6E5"/>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19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201"/>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508"/>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64F"/>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114"/>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0EC0"/>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4EB2"/>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64F"/>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5D083-0178-40B3-94E5-5E9DD27FC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821</TotalTime>
  <Pages>3</Pages>
  <Words>1419</Words>
  <Characters>8089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9490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16</cp:revision>
  <cp:lastPrinted>2010-01-07T02:23:00Z</cp:lastPrinted>
  <dcterms:created xsi:type="dcterms:W3CDTF">2021-09-27T08:34:00Z</dcterms:created>
  <dcterms:modified xsi:type="dcterms:W3CDTF">2021-10-22T22:31:00Z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(3)xM26r2ZATyKQvQt6hrV8G9MsdkNiZEJGc66G9DddhdfzECs1hkdJjwX1ktLrRKkJ9AVhiyUA
jbcR0p8kKIrQigQretSC6/xI83ELJLN4KtqbuOkRV0GDXyYG+Ai8AnBX0kTKq1g9pyiws8Md
OzKmCw+X8W8HN+W9xIybyUzbsFI5XShg4NcSMxasJKU389mJRugTzOOoEDu8BFfIDUC792oR
+sCeWz6HwfkUgvbHen</vt:lpwstr>
  </property>
  <property fmtid="{D5CDD505-2E9C-101B-9397-08002B2CF9AE}" pid="15" name="_2015_ms_pID_725343_00">
    <vt:lpwstr>_2015_ms_pID_725343</vt:lpwstr>
  </property>
  <property fmtid="{D5CDD505-2E9C-101B-9397-08002B2CF9AE}" pid="16" name="_2015_ms_pID_7253431">
    <vt:lpwstr>ed3O4Q5S7QtFaa81VHm/k/qrgiXzGsPjw37VvODFP1QA/jN3xduBLy
7xcgDZ5Eibdz7xh4SibPmQzIXvSHPLYjGWYTh/2BTKQg03ljmDkmDj6Lk+WDsDb0CW+vwWvm
tO4PjHgE9hj/vBq5JzV7/6ayD6cejYo9bBcG/BpJmyVgVoE6NjMLOSn3RHFv5RqMDvdzVBo6
NIfcpj8KG2uWWBHUtx+gwIzy/VwVKJbS+qEa</vt:lpwstr>
  </property>
  <property fmtid="{D5CDD505-2E9C-101B-9397-08002B2CF9AE}" pid="17" name="_2015_ms_pID_7253431_00">
    <vt:lpwstr>_2015_ms_pID_7253431</vt:lpwstr>
  </property>
  <property fmtid="{D5CDD505-2E9C-101B-9397-08002B2CF9AE}" pid="18" name="_2015_ms_pID_7253432">
    <vt:lpwstr>BXaiH7TGHvGlFKVZKjZaba4=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